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011A9FE3"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420D17D7" w:rsidR="008F2D5D" w:rsidRPr="002C54B9" w:rsidRDefault="008F2D5D" w:rsidP="00FC4053">
            <w:pPr>
              <w:autoSpaceDE w:val="0"/>
              <w:autoSpaceDN w:val="0"/>
              <w:adjustRightInd w:val="0"/>
              <w:ind w:left="-290" w:firstLine="290"/>
              <w:jc w:val="center"/>
              <w:rPr>
                <w:rFonts w:cs="Arial"/>
                <w:b/>
                <w:sz w:val="20"/>
                <w:lang w:val="it-IT"/>
              </w:rPr>
            </w:pPr>
            <w:r>
              <w:rPr>
                <w:rFonts w:cs="Arial"/>
                <w:b/>
                <w:sz w:val="20"/>
                <w:lang w:val="it-IT"/>
              </w:rPr>
              <w:t>11/03/2024</w:t>
            </w:r>
          </w:p>
        </w:tc>
        <w:tc>
          <w:tcPr>
            <w:tcW w:w="4602" w:type="dxa"/>
            <w:tcBorders>
              <w:left w:val="single" w:sz="12" w:space="0" w:color="auto"/>
              <w:right w:val="single" w:sz="12" w:space="0" w:color="auto"/>
            </w:tcBorders>
            <w:shd w:val="clear" w:color="auto" w:fill="auto"/>
            <w:vAlign w:val="center"/>
          </w:tcPr>
          <w:p w14:paraId="794F85EE" w14:textId="77777777" w:rsidR="001A3187" w:rsidRPr="00DB773B" w:rsidRDefault="001A3187" w:rsidP="001A3187">
            <w:pPr>
              <w:spacing w:after="0"/>
              <w:jc w:val="center"/>
              <w:rPr>
                <w:rFonts w:ascii="Calibri" w:hAnsi="Calibri" w:cs="Calibri"/>
                <w:color w:val="000000"/>
                <w:sz w:val="22"/>
                <w:szCs w:val="22"/>
                <w:lang w:val="en-US"/>
              </w:rPr>
            </w:pPr>
          </w:p>
          <w:p w14:paraId="3AF6F725" w14:textId="77777777" w:rsidR="00146BF8" w:rsidRPr="00146BF8" w:rsidRDefault="00146BF8" w:rsidP="00632B09">
            <w:pPr>
              <w:autoSpaceDE w:val="0"/>
              <w:autoSpaceDN w:val="0"/>
              <w:adjustRightInd w:val="0"/>
              <w:rPr>
                <w:rFonts w:cs="Arial"/>
                <w:b/>
                <w:sz w:val="20"/>
                <w:lang w:val="it-IT"/>
              </w:rPr>
            </w:pPr>
            <w:r>
              <w:t xml:space="preserve"> </w:t>
            </w:r>
            <w:r w:rsidRPr="00146BF8">
              <w:rPr>
                <w:rFonts w:cs="Arial"/>
                <w:b/>
                <w:sz w:val="20"/>
                <w:lang w:val="it-IT"/>
              </w:rPr>
              <w:t xml:space="preserve">Simplifying and joining machining processes </w:t>
            </w:r>
          </w:p>
          <w:p w14:paraId="2F741FFB" w14:textId="77777777" w:rsidR="00146BF8" w:rsidRPr="00146BF8" w:rsidRDefault="00146BF8" w:rsidP="00146BF8">
            <w:pPr>
              <w:autoSpaceDE w:val="0"/>
              <w:autoSpaceDN w:val="0"/>
              <w:adjustRightInd w:val="0"/>
              <w:ind w:left="-290" w:firstLine="290"/>
              <w:jc w:val="center"/>
              <w:rPr>
                <w:rFonts w:cs="Arial"/>
                <w:b/>
                <w:sz w:val="20"/>
                <w:lang w:val="it-IT"/>
              </w:rPr>
            </w:pPr>
            <w:r w:rsidRPr="00146BF8">
              <w:rPr>
                <w:rFonts w:cs="Arial"/>
                <w:b/>
                <w:sz w:val="20"/>
                <w:lang w:val="it-IT"/>
              </w:rPr>
              <w:t xml:space="preserve">op </w:t>
            </w:r>
            <w:proofErr w:type="gramStart"/>
            <w:r w:rsidRPr="00146BF8">
              <w:rPr>
                <w:rFonts w:cs="Arial"/>
                <w:b/>
                <w:sz w:val="20"/>
                <w:lang w:val="it-IT"/>
              </w:rPr>
              <w:t>145/155 cylinder</w:t>
            </w:r>
            <w:proofErr w:type="gramEnd"/>
            <w:r w:rsidRPr="00146BF8">
              <w:rPr>
                <w:rFonts w:cs="Arial"/>
                <w:b/>
                <w:sz w:val="20"/>
                <w:lang w:val="it-IT"/>
              </w:rPr>
              <w:t xml:space="preserve"> block </w:t>
            </w:r>
          </w:p>
          <w:p w14:paraId="7AD20613" w14:textId="4E72EE51" w:rsidR="002C54B9" w:rsidRPr="00146BF8" w:rsidRDefault="00146BF8" w:rsidP="00146BF8">
            <w:pPr>
              <w:autoSpaceDE w:val="0"/>
              <w:autoSpaceDN w:val="0"/>
              <w:adjustRightInd w:val="0"/>
              <w:ind w:left="-290" w:firstLine="290"/>
              <w:jc w:val="center"/>
              <w:rPr>
                <w:sz w:val="20"/>
                <w:lang w:val="it-IT"/>
              </w:rPr>
            </w:pPr>
            <w:r w:rsidRPr="00146BF8">
              <w:rPr>
                <w:rFonts w:cs="Arial"/>
                <w:b/>
                <w:sz w:val="20"/>
                <w:lang w:val="it-IT"/>
              </w:rPr>
              <w:t>Pratola Serra Plant</w:t>
            </w: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0CEF9A9C" w:rsidR="002C54B9" w:rsidRPr="002C54B9" w:rsidRDefault="000E7592" w:rsidP="00FC4053">
            <w:pPr>
              <w:ind w:left="-290" w:firstLine="290"/>
              <w:jc w:val="center"/>
              <w:rPr>
                <w:rFonts w:cs="Arial"/>
                <w:sz w:val="20"/>
                <w:lang w:val="it-IT"/>
              </w:rPr>
            </w:pPr>
            <w:r>
              <w:rPr>
                <w:rFonts w:cs="Arial"/>
                <w:sz w:val="20"/>
                <w:lang w:val="it-IT"/>
              </w:rPr>
              <w:t>20000</w:t>
            </w:r>
            <w:r w:rsidR="008F2D5D">
              <w:rPr>
                <w:rFonts w:cs="Arial"/>
                <w:sz w:val="20"/>
                <w:lang w:val="it-IT"/>
              </w:rPr>
              <w:t>31</w:t>
            </w:r>
            <w:r w:rsidR="00146BF8">
              <w:rPr>
                <w:rFonts w:cs="Arial"/>
                <w:sz w:val="20"/>
                <w:lang w:val="it-IT"/>
              </w:rPr>
              <w:t>350</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you send the bid by e-mail, it must be prepared in Your Company Letter head, signed by Your Company’s Legal </w:t>
      </w:r>
      <w:proofErr w:type="gramStart"/>
      <w:r w:rsidRPr="00D254D9">
        <w:rPr>
          <w:rFonts w:cs="Arial"/>
          <w:sz w:val="18"/>
          <w:szCs w:val="18"/>
          <w:lang w:val="en-US"/>
        </w:rPr>
        <w:t>Representatives</w:t>
      </w:r>
      <w:proofErr w:type="gramEnd"/>
      <w:r w:rsidRPr="00D254D9">
        <w:rPr>
          <w:rFonts w:cs="Arial"/>
          <w:sz w:val="18"/>
          <w:szCs w:val="18"/>
          <w:lang w:val="en-US"/>
        </w:rPr>
        <w:t xml:space="preserve">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55650731" w14:textId="77777777" w:rsidR="00D254D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 xml:space="preserve">Eugenio </w:t>
            </w:r>
            <w:proofErr w:type="spellStart"/>
            <w:r>
              <w:rPr>
                <w:rFonts w:cs="Arial"/>
                <w:bCs/>
                <w:sz w:val="18"/>
                <w:szCs w:val="18"/>
                <w:lang w:val="it-IT"/>
              </w:rPr>
              <w:t>Vernacchio</w:t>
            </w:r>
            <w:proofErr w:type="spellEnd"/>
          </w:p>
          <w:p w14:paraId="4576672F" w14:textId="61D51A7F" w:rsidR="00AE5C1C" w:rsidRPr="002C54B9" w:rsidRDefault="00AE5C1C"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eugenio.vernacchio@stellantis.com</w:t>
            </w:r>
          </w:p>
        </w:tc>
      </w:tr>
    </w:tbl>
    <w:p w14:paraId="32FB8D67" w14:textId="77777777" w:rsidR="00D254D9" w:rsidRPr="00146BF8"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lastRenderedPageBreak/>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w:t>
      </w:r>
      <w:proofErr w:type="gramStart"/>
      <w:r w:rsidR="00D254D9" w:rsidRPr="00D254D9">
        <w:rPr>
          <w:rFonts w:cs="Arial"/>
          <w:sz w:val="18"/>
          <w:szCs w:val="18"/>
          <w:lang w:val="en-US"/>
        </w:rPr>
        <w:t>enter into</w:t>
      </w:r>
      <w:proofErr w:type="gramEnd"/>
      <w:r w:rsidR="00D254D9" w:rsidRPr="00D254D9">
        <w:rPr>
          <w:rFonts w:cs="Arial"/>
          <w:sz w:val="18"/>
          <w:szCs w:val="18"/>
          <w:lang w:val="en-US"/>
        </w:rPr>
        <w:t xml:space="preserve">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8F2D5D" w:rsidRDefault="00D254D9" w:rsidP="00D254D9">
      <w:pPr>
        <w:autoSpaceDE w:val="0"/>
        <w:autoSpaceDN w:val="0"/>
        <w:adjustRightInd w:val="0"/>
        <w:spacing w:before="100" w:after="100"/>
        <w:rPr>
          <w:rFonts w:cs="Arial"/>
          <w:sz w:val="18"/>
          <w:szCs w:val="18"/>
          <w:lang w:val="en-US"/>
        </w:rPr>
      </w:pPr>
      <w:r w:rsidRPr="008F2D5D">
        <w:rPr>
          <w:rFonts w:cs="Arial"/>
          <w:sz w:val="18"/>
          <w:szCs w:val="18"/>
          <w:lang w:val="en-US"/>
        </w:rPr>
        <w:t>Best Regards,</w:t>
      </w:r>
    </w:p>
    <w:p w14:paraId="010A92ED" w14:textId="77777777" w:rsidR="00D254D9" w:rsidRPr="008F2D5D" w:rsidRDefault="00D254D9" w:rsidP="002C54B9">
      <w:pPr>
        <w:autoSpaceDE w:val="0"/>
        <w:autoSpaceDN w:val="0"/>
        <w:adjustRightInd w:val="0"/>
        <w:spacing w:before="100" w:after="100"/>
        <w:rPr>
          <w:rFonts w:cs="Arial"/>
          <w:sz w:val="18"/>
          <w:szCs w:val="18"/>
          <w:lang w:val="en-US"/>
        </w:rPr>
      </w:pPr>
    </w:p>
    <w:p w14:paraId="0DB32C99" w14:textId="77777777" w:rsidR="002C54B9" w:rsidRPr="008F2D5D"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8F2D5D"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8F2D5D">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 xml:space="preserve">Buyer </w:t>
      </w:r>
      <w:proofErr w:type="spellStart"/>
      <w:r w:rsidRPr="008F2D5D">
        <w:rPr>
          <w:rFonts w:asciiTheme="minorHAnsi" w:eastAsiaTheme="minorHAnsi" w:hAnsiTheme="minorHAnsi" w:cs="Arial"/>
          <w:sz w:val="18"/>
          <w:szCs w:val="18"/>
          <w:lang w:val="it-IT"/>
        </w:rPr>
        <w:t>Specialist</w:t>
      </w:r>
      <w:proofErr w:type="spellEnd"/>
    </w:p>
    <w:p w14:paraId="123BEB9C" w14:textId="77777777"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8F2D5D">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8F2D5D"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8F2D5D">
        <w:rPr>
          <w:rFonts w:asciiTheme="minorHAnsi" w:eastAsiaTheme="minorHAnsi" w:hAnsiTheme="minorHAnsi" w:cs="Arial"/>
          <w:sz w:val="18"/>
          <w:szCs w:val="18"/>
        </w:rPr>
        <w:t>Mobile: +39 33</w:t>
      </w:r>
      <w:r w:rsidR="00DA4CCE" w:rsidRPr="008F2D5D">
        <w:rPr>
          <w:rFonts w:asciiTheme="minorHAnsi" w:eastAsiaTheme="minorHAnsi" w:hAnsiTheme="minorHAnsi" w:cs="Arial"/>
          <w:sz w:val="18"/>
          <w:szCs w:val="18"/>
        </w:rPr>
        <w:t>4-6900558</w:t>
      </w:r>
    </w:p>
    <w:p w14:paraId="14F685F9" w14:textId="5A0FCCD3" w:rsidR="002C54B9" w:rsidRPr="008F2D5D"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8" w:history="1">
        <w:r w:rsidR="00DA4CCE" w:rsidRPr="008F2D5D">
          <w:rPr>
            <w:rStyle w:val="Collegamentoipertestuale"/>
            <w:rFonts w:asciiTheme="minorHAnsi" w:eastAsiaTheme="minorHAnsi" w:hAnsiTheme="minorHAnsi"/>
            <w:sz w:val="18"/>
            <w:szCs w:val="18"/>
          </w:rPr>
          <w:t>roberta.sereno@stellantis.com</w:t>
        </w:r>
      </w:hyperlink>
    </w:p>
    <w:bookmarkEnd w:id="0"/>
    <w:p w14:paraId="507E627E" w14:textId="77777777" w:rsidR="002C54B9" w:rsidRPr="008F2D5D" w:rsidRDefault="002C54B9" w:rsidP="002C54B9">
      <w:pPr>
        <w:rPr>
          <w:lang w:val="en-US"/>
        </w:rPr>
      </w:pPr>
    </w:p>
    <w:sectPr w:rsidR="002C54B9" w:rsidRPr="008F2D5D" w:rsidSect="002C54B9">
      <w:headerReference w:type="default" r:id="rId9"/>
      <w:footerReference w:type="default" r:id="rId10"/>
      <w:headerReference w:type="first" r:id="rId11"/>
      <w:footerReference w:type="first" r:id="rId12"/>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38B9" w14:textId="77777777" w:rsidR="008B0087" w:rsidRDefault="008B0087" w:rsidP="004343BF">
      <w:r>
        <w:separator/>
      </w:r>
    </w:p>
  </w:endnote>
  <w:endnote w:type="continuationSeparator" w:id="0">
    <w:p w14:paraId="1F0C4074" w14:textId="77777777" w:rsidR="008B0087" w:rsidRDefault="008B0087"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76B73323-B66F-4674-ACD3-F3FB9DD3E99E}"/>
    <w:embedBold r:id="rId2" w:fontKey="{46003F8C-5425-4227-8FA4-D69BC31A806D}"/>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3B4" w14:textId="77777777" w:rsidR="008B0087" w:rsidRDefault="008B0087" w:rsidP="004343BF">
      <w:r>
        <w:separator/>
      </w:r>
    </w:p>
  </w:footnote>
  <w:footnote w:type="continuationSeparator" w:id="0">
    <w:p w14:paraId="46910B3A" w14:textId="77777777" w:rsidR="008B0087" w:rsidRDefault="008B0087"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E7592"/>
    <w:rsid w:val="0013202F"/>
    <w:rsid w:val="00146BF8"/>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462B0"/>
    <w:rsid w:val="005515A1"/>
    <w:rsid w:val="00557753"/>
    <w:rsid w:val="00565539"/>
    <w:rsid w:val="005926BF"/>
    <w:rsid w:val="005931D9"/>
    <w:rsid w:val="005C775F"/>
    <w:rsid w:val="005F2120"/>
    <w:rsid w:val="0061682B"/>
    <w:rsid w:val="006201F7"/>
    <w:rsid w:val="00632B09"/>
    <w:rsid w:val="00646166"/>
    <w:rsid w:val="006535D6"/>
    <w:rsid w:val="00655A10"/>
    <w:rsid w:val="00663033"/>
    <w:rsid w:val="00682310"/>
    <w:rsid w:val="006B4DD1"/>
    <w:rsid w:val="006B5C7E"/>
    <w:rsid w:val="006E27BF"/>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B0087"/>
    <w:rsid w:val="008D16FE"/>
    <w:rsid w:val="008E3DAB"/>
    <w:rsid w:val="008F0F07"/>
    <w:rsid w:val="008F2A13"/>
    <w:rsid w:val="008F2D5D"/>
    <w:rsid w:val="00992BE1"/>
    <w:rsid w:val="009968C5"/>
    <w:rsid w:val="009A23AB"/>
    <w:rsid w:val="009D180E"/>
    <w:rsid w:val="009E64B9"/>
    <w:rsid w:val="00A01AE8"/>
    <w:rsid w:val="00A10159"/>
    <w:rsid w:val="00A24917"/>
    <w:rsid w:val="00A76483"/>
    <w:rsid w:val="00A87390"/>
    <w:rsid w:val="00A92A58"/>
    <w:rsid w:val="00AA1429"/>
    <w:rsid w:val="00AA7B24"/>
    <w:rsid w:val="00AE5C1C"/>
    <w:rsid w:val="00B07A3C"/>
    <w:rsid w:val="00B10A4B"/>
    <w:rsid w:val="00B31031"/>
    <w:rsid w:val="00B32F4C"/>
    <w:rsid w:val="00B4308D"/>
    <w:rsid w:val="00B64F18"/>
    <w:rsid w:val="00B8097E"/>
    <w:rsid w:val="00B92FB1"/>
    <w:rsid w:val="00BC4650"/>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 w:type="paragraph" w:customStyle="1" w:styleId="Default">
    <w:name w:val="Default"/>
    <w:rsid w:val="008F2D5D"/>
    <w:pPr>
      <w:autoSpaceDE w:val="0"/>
      <w:autoSpaceDN w:val="0"/>
      <w:adjustRightInd w:val="0"/>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ereno@stellant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25</TotalTime>
  <Pages>2</Pages>
  <Words>642</Words>
  <Characters>3663</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13</cp:revision>
  <cp:lastPrinted>2021-01-19T17:18:00Z</cp:lastPrinted>
  <dcterms:created xsi:type="dcterms:W3CDTF">2021-09-30T15:30:00Z</dcterms:created>
  <dcterms:modified xsi:type="dcterms:W3CDTF">2024-03-11T15:57:00Z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2024-03-11T14:33:07Z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39d5812b-7166-49e8-993e-cc3b5660e6c7</vt:lpwstr>
  </property>
  <property fmtid="{D5CDD505-2E9C-101B-9397-08002B2CF9AE}" pid="8" name="MSIP_Label_725ca717-11da-4935-b601-f527b9741f2e_ContentBits">
    <vt:lpwstr>0</vt:lpwstr>
  </property>
</Properties>
</file>