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780C1C">
            <w:pPr>
              <w:autoSpaceDE w:val="0"/>
              <w:autoSpaceDN w:val="0"/>
              <w:adjustRightInd w:val="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780C1C">
            <w:pPr>
              <w:autoSpaceDE w:val="0"/>
              <w:autoSpaceDN w:val="0"/>
              <w:adjustRightInd w:val="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72240083" w14:textId="77777777" w:rsidR="001E26BA" w:rsidRDefault="001E26BA" w:rsidP="001E26BA">
            <w:pPr>
              <w:pStyle w:val="Default"/>
            </w:pPr>
          </w:p>
          <w:p w14:paraId="6A349DF8" w14:textId="77777777" w:rsidR="001E26BA" w:rsidRPr="001E26BA" w:rsidRDefault="001E26BA" w:rsidP="001E26BA">
            <w:pPr>
              <w:spacing w:after="0"/>
              <w:jc w:val="center"/>
              <w:rPr>
                <w:rFonts w:cs="Arial"/>
                <w:b/>
                <w:sz w:val="20"/>
                <w:lang w:val="it-IT"/>
              </w:rPr>
            </w:pPr>
            <w:r w:rsidRPr="001E26BA">
              <w:rPr>
                <w:lang w:val="it-IT"/>
              </w:rPr>
              <w:t xml:space="preserve"> </w:t>
            </w:r>
            <w:r w:rsidRPr="001E26BA">
              <w:rPr>
                <w:rFonts w:cs="Arial"/>
                <w:b/>
                <w:sz w:val="20"/>
                <w:lang w:val="it-IT"/>
              </w:rPr>
              <w:t xml:space="preserve">Eliminazione manipolatore e giunzione trasportatori </w:t>
            </w:r>
          </w:p>
          <w:p w14:paraId="6870FB4B" w14:textId="6A91BE35" w:rsidR="00780C1C" w:rsidRPr="00780C1C" w:rsidRDefault="001E26BA" w:rsidP="001E26BA">
            <w:pPr>
              <w:spacing w:after="0"/>
              <w:jc w:val="center"/>
              <w:rPr>
                <w:rFonts w:cs="Arial"/>
                <w:b/>
                <w:sz w:val="20"/>
                <w:lang w:val="it-IT"/>
              </w:rPr>
            </w:pPr>
            <w:r w:rsidRPr="001E26BA">
              <w:rPr>
                <w:rFonts w:cs="Arial"/>
                <w:b/>
                <w:sz w:val="20"/>
                <w:lang w:val="it-IT"/>
              </w:rPr>
              <w:t xml:space="preserve">albero distribuzione </w:t>
            </w:r>
          </w:p>
          <w:p w14:paraId="7AD20613" w14:textId="474119D8" w:rsidR="002C54B9" w:rsidRPr="00780C1C" w:rsidRDefault="00780C1C" w:rsidP="00780C1C">
            <w:pPr>
              <w:spacing w:after="0"/>
              <w:jc w:val="center"/>
              <w:rPr>
                <w:rFonts w:cs="Arial"/>
                <w:b/>
                <w:sz w:val="20"/>
                <w:lang w:val="it-IT"/>
              </w:rPr>
            </w:pPr>
            <w:r w:rsidRPr="00780C1C">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097D4BA5"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w:t>
            </w:r>
            <w:r w:rsidR="001E26BA">
              <w:rPr>
                <w:rFonts w:cs="Arial"/>
                <w:sz w:val="20"/>
                <w:lang w:val="it-IT"/>
              </w:rPr>
              <w:t>0906</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Should you send the bid by e-mail, it must be prepared in Your Company Letter head, signed by Your Company’s Legal Representatives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146BF8"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lastRenderedPageBreak/>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to enter into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Default="00E24907" w:rsidP="002C54B9">
      <w:pPr>
        <w:pStyle w:val="NormaleWeb"/>
        <w:spacing w:before="0" w:beforeAutospacing="0" w:after="0" w:afterAutospacing="0"/>
        <w:jc w:val="right"/>
        <w:rPr>
          <w:rStyle w:val="Collegamentoipertestuale"/>
          <w:rFonts w:asciiTheme="minorHAnsi" w:eastAsiaTheme="minorHAnsi" w:hAnsiTheme="minorHAnsi"/>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p w14:paraId="526D0C59" w14:textId="77777777" w:rsidR="00E24907" w:rsidRDefault="00E24907" w:rsidP="002C54B9">
      <w:pPr>
        <w:pStyle w:val="NormaleWeb"/>
        <w:spacing w:before="0" w:beforeAutospacing="0" w:after="0" w:afterAutospacing="0"/>
        <w:jc w:val="right"/>
        <w:rPr>
          <w:rStyle w:val="Collegamentoipertestuale"/>
          <w:rFonts w:asciiTheme="minorHAnsi" w:eastAsiaTheme="minorHAnsi" w:hAnsiTheme="minorHAnsi"/>
          <w:sz w:val="18"/>
          <w:szCs w:val="18"/>
        </w:rPr>
      </w:pPr>
    </w:p>
    <w:p w14:paraId="4CB62E8F" w14:textId="77777777" w:rsidR="00E24907" w:rsidRDefault="00E24907" w:rsidP="002C54B9">
      <w:pPr>
        <w:pStyle w:val="NormaleWeb"/>
        <w:spacing w:before="0" w:beforeAutospacing="0" w:after="0" w:afterAutospacing="0"/>
        <w:jc w:val="right"/>
        <w:rPr>
          <w:rStyle w:val="Collegamentoipertestuale"/>
          <w:rFonts w:asciiTheme="minorHAnsi" w:eastAsiaTheme="minorHAnsi" w:hAnsiTheme="minorHAnsi"/>
          <w:sz w:val="18"/>
          <w:szCs w:val="18"/>
        </w:rPr>
      </w:pPr>
    </w:p>
    <w:p w14:paraId="51BF91C4" w14:textId="77777777" w:rsidR="00E24907" w:rsidRDefault="00E24907" w:rsidP="002C54B9">
      <w:pPr>
        <w:pStyle w:val="NormaleWeb"/>
        <w:spacing w:before="0" w:beforeAutospacing="0" w:after="0" w:afterAutospacing="0"/>
        <w:jc w:val="right"/>
        <w:rPr>
          <w:rStyle w:val="Collegamentoipertestuale"/>
          <w:rFonts w:asciiTheme="minorHAnsi" w:eastAsiaTheme="minorHAnsi" w:hAnsiTheme="minorHAnsi"/>
          <w:sz w:val="18"/>
          <w:szCs w:val="18"/>
        </w:rPr>
      </w:pPr>
    </w:p>
    <w:p w14:paraId="30C131EF" w14:textId="6EFDADB7" w:rsidR="00E24907" w:rsidRDefault="00E24907" w:rsidP="002C54B9">
      <w:pPr>
        <w:pStyle w:val="NormaleWeb"/>
        <w:spacing w:before="0" w:beforeAutospacing="0" w:after="0" w:afterAutospacing="0"/>
        <w:jc w:val="right"/>
        <w:rPr>
          <w:rStyle w:val="Collegamentoipertestuale"/>
          <w:rFonts w:asciiTheme="minorHAnsi" w:eastAsiaTheme="minorHAnsi" w:hAnsiTheme="minorHAnsi"/>
          <w:sz w:val="18"/>
          <w:szCs w:val="18"/>
        </w:rPr>
      </w:pPr>
      <w:r>
        <w:rPr>
          <w:rStyle w:val="Collegamentoipertestuale"/>
          <w:rFonts w:asciiTheme="minorHAnsi" w:eastAsiaTheme="minorHAnsi" w:hAnsiTheme="minorHAnsi"/>
          <w:sz w:val="18"/>
          <w:szCs w:val="18"/>
        </w:rPr>
        <w:t xml:space="preserve">per </w:t>
      </w:r>
      <w:proofErr w:type="spellStart"/>
      <w:r>
        <w:rPr>
          <w:rStyle w:val="Collegamentoipertestuale"/>
          <w:rFonts w:asciiTheme="minorHAnsi" w:eastAsiaTheme="minorHAnsi" w:hAnsiTheme="minorHAnsi"/>
          <w:sz w:val="18"/>
          <w:szCs w:val="18"/>
        </w:rPr>
        <w:t>accettazione</w:t>
      </w:r>
      <w:proofErr w:type="spellEnd"/>
      <w:r>
        <w:rPr>
          <w:rStyle w:val="Collegamentoipertestuale"/>
          <w:rFonts w:asciiTheme="minorHAnsi" w:eastAsiaTheme="minorHAnsi" w:hAnsiTheme="minorHAnsi"/>
          <w:sz w:val="18"/>
          <w:szCs w:val="18"/>
        </w:rPr>
        <w:t xml:space="preserve"> R.E.M. </w:t>
      </w:r>
      <w:proofErr w:type="spellStart"/>
      <w:r>
        <w:rPr>
          <w:rStyle w:val="Collegamentoipertestuale"/>
          <w:rFonts w:asciiTheme="minorHAnsi" w:eastAsiaTheme="minorHAnsi" w:hAnsiTheme="minorHAnsi"/>
          <w:sz w:val="18"/>
          <w:szCs w:val="18"/>
        </w:rPr>
        <w:t>srl</w:t>
      </w:r>
      <w:proofErr w:type="spellEnd"/>
    </w:p>
    <w:p w14:paraId="76FB3C64" w14:textId="77777777" w:rsidR="00E24907" w:rsidRDefault="00E24907" w:rsidP="002C54B9">
      <w:pPr>
        <w:pStyle w:val="NormaleWeb"/>
        <w:spacing w:before="0" w:beforeAutospacing="0" w:after="0" w:afterAutospacing="0"/>
        <w:jc w:val="right"/>
        <w:rPr>
          <w:rStyle w:val="Collegamentoipertestuale"/>
          <w:rFonts w:asciiTheme="minorHAnsi" w:eastAsiaTheme="minorHAnsi" w:hAnsiTheme="minorHAnsi"/>
          <w:sz w:val="18"/>
          <w:szCs w:val="18"/>
        </w:rPr>
      </w:pPr>
    </w:p>
    <w:p w14:paraId="0C15C358" w14:textId="1A0A111E" w:rsidR="00E24907" w:rsidRPr="008F2D5D" w:rsidRDefault="00E24907" w:rsidP="002C54B9">
      <w:pPr>
        <w:pStyle w:val="NormaleWeb"/>
        <w:spacing w:before="0" w:beforeAutospacing="0" w:after="0" w:afterAutospacing="0"/>
        <w:jc w:val="right"/>
        <w:rPr>
          <w:rFonts w:asciiTheme="minorHAnsi" w:eastAsiaTheme="minorHAnsi" w:hAnsiTheme="minorHAnsi" w:cs="Arial"/>
          <w:sz w:val="18"/>
          <w:szCs w:val="18"/>
        </w:rPr>
      </w:pPr>
      <w:r>
        <w:rPr>
          <w:rFonts w:asciiTheme="minorHAnsi" w:eastAsiaTheme="minorHAnsi" w:hAnsiTheme="minorHAnsi" w:cs="Arial"/>
          <w:noProof/>
          <w:sz w:val="18"/>
          <w:szCs w:val="18"/>
        </w:rPr>
        <w:drawing>
          <wp:inline distT="0" distB="0" distL="0" distR="0" wp14:anchorId="0F3F6573" wp14:editId="06A10C8B">
            <wp:extent cx="1771650" cy="1047750"/>
            <wp:effectExtent l="0" t="0" r="0" b="0"/>
            <wp:docPr id="10361390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39074" name="Immagine 1036139074"/>
                    <pic:cNvPicPr/>
                  </pic:nvPicPr>
                  <pic:blipFill>
                    <a:blip r:embed="rId9"/>
                    <a:stretch>
                      <a:fillRect/>
                    </a:stretch>
                  </pic:blipFill>
                  <pic:spPr>
                    <a:xfrm>
                      <a:off x="0" y="0"/>
                      <a:ext cx="1771650" cy="1047750"/>
                    </a:xfrm>
                    <a:prstGeom prst="rect">
                      <a:avLst/>
                    </a:prstGeom>
                  </pic:spPr>
                </pic:pic>
              </a:graphicData>
            </a:graphic>
          </wp:inline>
        </w:drawing>
      </w:r>
    </w:p>
    <w:bookmarkEnd w:id="0"/>
    <w:p w14:paraId="507E627E" w14:textId="77777777" w:rsidR="002C54B9" w:rsidRPr="008F2D5D" w:rsidRDefault="002C54B9" w:rsidP="002C54B9">
      <w:pPr>
        <w:rPr>
          <w:lang w:val="en-US"/>
        </w:rPr>
      </w:pPr>
    </w:p>
    <w:sectPr w:rsidR="002C54B9" w:rsidRPr="008F2D5D" w:rsidSect="002C54B9">
      <w:headerReference w:type="default" r:id="rId10"/>
      <w:footerReference w:type="default" r:id="rId11"/>
      <w:headerReference w:type="first" r:id="rId12"/>
      <w:footerReference w:type="first" r:id="rId13"/>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8A06" w14:textId="77777777" w:rsidR="00A14294" w:rsidRDefault="00A14294" w:rsidP="004343BF">
      <w:r>
        <w:separator/>
      </w:r>
    </w:p>
  </w:endnote>
  <w:endnote w:type="continuationSeparator" w:id="0">
    <w:p w14:paraId="28F8D1E2" w14:textId="77777777" w:rsidR="00A14294" w:rsidRDefault="00A14294"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charset w:val="00"/>
    <w:family w:val="auto"/>
    <w:pitch w:val="variable"/>
    <w:sig w:usb0="A00000FF" w:usb1="4000207B" w:usb2="00000000" w:usb3="00000000" w:csb0="00000193" w:csb1="00000000"/>
    <w:embedRegular r:id="rId1" w:fontKey="{28E957B0-AA17-4B59-BA14-6DEBF9F1AB15}"/>
    <w:embedBold r:id="rId2" w:fontKey="{3056DA84-74AA-4119-BC19-6865B09EE9DC}"/>
  </w:font>
  <w:font w:name="Arial">
    <w:panose1 w:val="020B0604020202020204"/>
    <w:charset w:val="00"/>
    <w:family w:val="swiss"/>
    <w:pitch w:val="variable"/>
    <w:sig w:usb0="E0002EFF" w:usb1="C000785B" w:usb2="00000009" w:usb3="00000000" w:csb0="000001FF" w:csb1="00000000"/>
  </w:font>
  <w:font w:name="Encode Sans ExpandedSemiBold">
    <w:altName w:val="Calibri"/>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991F" w14:textId="77777777" w:rsidR="00A14294" w:rsidRDefault="00A14294" w:rsidP="004343BF">
      <w:r>
        <w:separator/>
      </w:r>
    </w:p>
  </w:footnote>
  <w:footnote w:type="continuationSeparator" w:id="0">
    <w:p w14:paraId="4E20BEFF" w14:textId="77777777" w:rsidR="00A14294" w:rsidRDefault="00A14294"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46BF8"/>
    <w:rsid w:val="00153E3C"/>
    <w:rsid w:val="001833C5"/>
    <w:rsid w:val="00196D87"/>
    <w:rsid w:val="001A0547"/>
    <w:rsid w:val="001A3187"/>
    <w:rsid w:val="001B285C"/>
    <w:rsid w:val="001B591C"/>
    <w:rsid w:val="001E26BA"/>
    <w:rsid w:val="001F617D"/>
    <w:rsid w:val="00232527"/>
    <w:rsid w:val="00237DD3"/>
    <w:rsid w:val="002836DD"/>
    <w:rsid w:val="00293E0C"/>
    <w:rsid w:val="002C1B4E"/>
    <w:rsid w:val="002C508D"/>
    <w:rsid w:val="002C54B9"/>
    <w:rsid w:val="002E292B"/>
    <w:rsid w:val="002E6BD0"/>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462B0"/>
    <w:rsid w:val="005515A1"/>
    <w:rsid w:val="00557753"/>
    <w:rsid w:val="00565539"/>
    <w:rsid w:val="005926BF"/>
    <w:rsid w:val="005931D9"/>
    <w:rsid w:val="005C775F"/>
    <w:rsid w:val="005F2120"/>
    <w:rsid w:val="0061682B"/>
    <w:rsid w:val="006201F7"/>
    <w:rsid w:val="00632B09"/>
    <w:rsid w:val="00646166"/>
    <w:rsid w:val="006535D6"/>
    <w:rsid w:val="00655A10"/>
    <w:rsid w:val="00663033"/>
    <w:rsid w:val="00682310"/>
    <w:rsid w:val="006B4DD1"/>
    <w:rsid w:val="006B5C7E"/>
    <w:rsid w:val="006E27BF"/>
    <w:rsid w:val="00703F0B"/>
    <w:rsid w:val="007631CB"/>
    <w:rsid w:val="00764752"/>
    <w:rsid w:val="00777A99"/>
    <w:rsid w:val="00780C1C"/>
    <w:rsid w:val="007A46E2"/>
    <w:rsid w:val="007B540D"/>
    <w:rsid w:val="007D1D73"/>
    <w:rsid w:val="007E317D"/>
    <w:rsid w:val="0080313B"/>
    <w:rsid w:val="00805FAA"/>
    <w:rsid w:val="008124BD"/>
    <w:rsid w:val="00815B14"/>
    <w:rsid w:val="00830536"/>
    <w:rsid w:val="00844381"/>
    <w:rsid w:val="00844956"/>
    <w:rsid w:val="00877117"/>
    <w:rsid w:val="008A29D2"/>
    <w:rsid w:val="008B0087"/>
    <w:rsid w:val="008D16FE"/>
    <w:rsid w:val="008E3DAB"/>
    <w:rsid w:val="008F0F07"/>
    <w:rsid w:val="008F2A13"/>
    <w:rsid w:val="008F2D5D"/>
    <w:rsid w:val="00992BE1"/>
    <w:rsid w:val="009968C5"/>
    <w:rsid w:val="009A23AB"/>
    <w:rsid w:val="009D180E"/>
    <w:rsid w:val="009E64B9"/>
    <w:rsid w:val="00A01AE8"/>
    <w:rsid w:val="00A10159"/>
    <w:rsid w:val="00A14294"/>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24907"/>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1</TotalTime>
  <Pages>2</Pages>
  <Words>648</Words>
  <Characters>3694</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Luigi</cp:lastModifiedBy>
  <cp:revision>2</cp:revision>
  <cp:lastPrinted>2021-01-19T17:18:00Z</cp:lastPrinted>
  <dcterms:created xsi:type="dcterms:W3CDTF">2024-04-02T07:49:00Z</dcterms:created>
  <dcterms:modified xsi:type="dcterms:W3CDTF">2024-04-02T07:49:00Z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