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3" w:type="dxa"/>
        <w:tblCellSpacing w:w="15" w:type="dxa"/>
        <w:tblInd w:w="-1197" w:type="dxa"/>
        <w:tblCellMar>
          <w:left w:w="0" w:type="dxa"/>
          <w:right w:w="0" w:type="dxa"/>
        </w:tblCellMar>
        <w:tblLook w:val="04A0"/>
      </w:tblPr>
      <w:tblGrid>
        <w:gridCol w:w="16438"/>
        <w:gridCol w:w="45"/>
      </w:tblGrid>
      <w:tr w:rsidR="00C24295" w:rsidRPr="00C24295" w:rsidTr="00C24295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line="240" w:lineRule="auto"/>
              <w:textAlignment w:val="top"/>
              <w:rPr>
                <w:rFonts w:ascii="inherit" w:eastAsia="Times New Roman" w:hAnsi="inherit" w:cs="Times New Roman"/>
                <w:i/>
                <w:iCs/>
                <w:sz w:val="14"/>
                <w:szCs w:val="1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i/>
                <w:iCs/>
                <w:sz w:val="14"/>
                <w:szCs w:val="14"/>
                <w:lang w:eastAsia="it-IT"/>
              </w:rPr>
              <w:t>Prima della sottoscrizione del presente documento sarà  responsabilità  dell'appaltatore valutare ed integrare, ove lo ritenga opportuno, i seguenti rischi</w: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tbl>
            <w:tblPr>
              <w:tblW w:w="16377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3"/>
              <w:gridCol w:w="818"/>
              <w:gridCol w:w="818"/>
              <w:gridCol w:w="818"/>
              <w:gridCol w:w="818"/>
              <w:gridCol w:w="818"/>
              <w:gridCol w:w="818"/>
              <w:gridCol w:w="817"/>
              <w:gridCol w:w="817"/>
              <w:gridCol w:w="817"/>
              <w:gridCol w:w="817"/>
              <w:gridCol w:w="817"/>
              <w:gridCol w:w="817"/>
              <w:gridCol w:w="817"/>
              <w:gridCol w:w="817"/>
              <w:gridCol w:w="817"/>
              <w:gridCol w:w="817"/>
              <w:gridCol w:w="817"/>
              <w:gridCol w:w="817"/>
              <w:gridCol w:w="832"/>
            </w:tblGrid>
            <w:tr w:rsidR="00C24295" w:rsidRPr="00C24295" w:rsidTr="00C24295">
              <w:trPr>
                <w:tblCellSpacing w:w="15" w:type="dxa"/>
              </w:trPr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24295" w:rsidRPr="00C24295" w:rsidTr="00C2429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  <w:t>Aree della centrale in cui verranno svolte le attività: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  <w:t>Altre imprese presenti durante lo svolgimento delle attività: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  <w:t>Lavorazioni incompatibili: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it-IT"/>
                    </w:rPr>
                    <w:t>Necessità di sfasamenti temporali tra più attività:</w:t>
                  </w:r>
                </w:p>
              </w:tc>
            </w:tr>
            <w:tr w:rsidR="00C24295" w:rsidRPr="00C24295" w:rsidTr="00C24295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color w:val="161616"/>
                      <w:sz w:val="24"/>
                      <w:szCs w:val="24"/>
                      <w:bdr w:val="none" w:sz="0" w:space="0" w:color="auto" w:frame="1"/>
                      <w:lang w:eastAsia="it-IT"/>
                    </w:rPr>
                    <w:t>CENTRALE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color w:val="161616"/>
                      <w:sz w:val="24"/>
                      <w:szCs w:val="24"/>
                      <w:bdr w:val="none" w:sz="0" w:space="0" w:color="auto" w:frame="1"/>
                      <w:lang w:eastAsia="it-IT"/>
                    </w:rPr>
                    <w:t>Da valutarsi all'atto dell'emissione del PDL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color w:val="161616"/>
                      <w:sz w:val="24"/>
                      <w:szCs w:val="24"/>
                      <w:bdr w:val="none" w:sz="0" w:space="0" w:color="auto" w:frame="1"/>
                      <w:lang w:eastAsia="it-IT"/>
                    </w:rPr>
                    <w:t>Da valutarsi all'atto dell'emissione del PDL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textAlignment w:val="top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color w:val="161616"/>
                      <w:sz w:val="24"/>
                      <w:szCs w:val="24"/>
                      <w:bdr w:val="none" w:sz="0" w:space="0" w:color="auto" w:frame="1"/>
                      <w:lang w:eastAsia="it-IT"/>
                    </w:rPr>
                    <w:t>Da valutarsi all'atto dell'emissione del PDL</w:t>
                  </w:r>
                </w:p>
              </w:tc>
            </w:tr>
          </w:tbl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Rischi interferenti</w:t>
            </w:r>
          </w:p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  <w:tbl>
            <w:tblPr>
              <w:tblW w:w="16377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"/>
              <w:gridCol w:w="815"/>
              <w:gridCol w:w="815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45"/>
            </w:tblGrid>
            <w:tr w:rsidR="00C24295" w:rsidRPr="00C24295" w:rsidTr="00C24295">
              <w:trPr>
                <w:gridAfter w:val="1"/>
                <w:tblCellSpacing w:w="15" w:type="dxa"/>
              </w:trPr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24295" w:rsidRPr="00C24295" w:rsidTr="00C24295">
              <w:trPr>
                <w:tblCellSpacing w:w="15" w:type="dxa"/>
              </w:trPr>
              <w:tc>
                <w:tcPr>
                  <w:tcW w:w="0" w:type="auto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  <w:r w:rsidRPr="00C2429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  <w:t xml:space="preserve">Si </w:t>
                  </w:r>
                  <w:proofErr w:type="spellStart"/>
                  <w:r w:rsidRPr="00C2429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  <w:t>accettanno</w:t>
                  </w:r>
                  <w:proofErr w:type="spellEnd"/>
                  <w:r w:rsidRPr="00C2429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  <w:t xml:space="preserve"> i contenuti del </w:t>
                  </w:r>
                  <w:proofErr w:type="spellStart"/>
                  <w:r w:rsidRPr="00C2429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  <w:t>DUVRI</w:t>
                  </w:r>
                  <w:r w:rsidRPr="00C24295">
                    <w:rPr>
                      <w:rFonts w:ascii="inherit" w:eastAsia="Times New Roman" w:hAnsi="inherit" w:cs="Times New Roman"/>
                      <w:color w:val="FF0000"/>
                      <w:sz w:val="24"/>
                      <w:szCs w:val="24"/>
                      <w:bdr w:val="none" w:sz="0" w:space="0" w:color="auto" w:frame="1"/>
                      <w:lang w:eastAsia="it-IT"/>
                    </w:rPr>
                    <w:t>*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3" w:type="dxa"/>
                    <w:left w:w="23" w:type="dxa"/>
                    <w:bottom w:w="23" w:type="dxa"/>
                    <w:right w:w="23" w:type="dxa"/>
                  </w:tcMar>
                  <w:hideMark/>
                </w:tcPr>
                <w:p w:rsidR="00C24295" w:rsidRPr="00C24295" w:rsidRDefault="00C24295" w:rsidP="00C2429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-2224"/>
        <w:tblOverlap w:val="never"/>
        <w:tblW w:w="1637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67"/>
        <w:gridCol w:w="752"/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1192"/>
        <w:gridCol w:w="1192"/>
        <w:gridCol w:w="1207"/>
      </w:tblGrid>
      <w:tr w:rsidR="00C24295" w:rsidRPr="00C24295" w:rsidTr="00C24295">
        <w:trPr>
          <w:tblCellSpacing w:w="15" w:type="dxa"/>
        </w:trPr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0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" w:type="pct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Rischio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Introdotto da Committente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Introdotto da Appaltatore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Attività  Interferenti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Misure Preventive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Ulteriori proposte integrative</w: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Caduta dall’alto di oggetti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3" type="#_x0000_t75" style="width:20.15pt;height:17.3pt" o:ole="">
                  <v:imagedata r:id="rId4" o:title=""/>
                </v:shape>
                <w:control r:id="rId5" w:name="DefaultOcxName" w:shapeid="_x0000_i1423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22" type="#_x0000_t75" style="width:20.15pt;height:17.3pt" o:ole="">
                  <v:imagedata r:id="rId6" o:title=""/>
                </v:shape>
                <w:control r:id="rId7" w:name="DefaultOcxName1" w:shapeid="_x0000_i1422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Attività di manutenzione con operazioni di smontaggio e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rimontaggio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di parti di impianto in quota Utilizzo di mezzi di sollevamento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Segregazione della zona mediante barriere e affissione di idonea cartellonistica o approntamento di idonee opere di protezione (impalcati, mantovane, reti,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etc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) - Obbligo in tutte le aree di centrale di utilizzo di elmetti protettivi - Obbligo di sollevare i materiali minuti (bulloni, viti, altro materiale) entro appositi contenitori - Utilizzo di mezzi di sollevamento conformi ai requisiti della normativa in vigore (sarà responsabilità dell’appaltatore fornire opportuna documentazione che attesti di aver effettuato i controlli richiesti dalla normativa) - In caso di utilizzo di mezzi di sollevamento è fatto obbligo allontanare dalla zona del carico sospeso il personale presente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21" type="#_x0000_t75" style="width:173.95pt;height:47.8pt" o:ole="">
                  <v:imagedata r:id="rId8" o:title=""/>
                </v:shape>
                <w:control r:id="rId9" w:name="DefaultOcxName2" w:shapeid="_x0000_i1421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Contatto con parti a temperatura elevata, getti di vapore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20" type="#_x0000_t75" style="width:20.15pt;height:17.3pt" o:ole="">
                  <v:imagedata r:id="rId6" o:title=""/>
                </v:shape>
                <w:control r:id="rId10" w:name="DefaultOcxName3" w:shapeid="_x0000_i1420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9" type="#_x0000_t75" style="width:20.15pt;height:17.3pt" o:ole="">
                  <v:imagedata r:id="rId6" o:title=""/>
                </v:shape>
                <w:control r:id="rId11" w:name="DefaultOcxName4" w:shapeid="_x0000_i1419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di manutenzione, misurazione, taratura strumenti su parti di impianto con presenza di vapore o acqua calda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Prima di iniziare un’attività il personale della Committente procederà alla messa in sicurezza dell’impianto coinvolto dalle attività - La maggior parte delle linee presenti in centrale sono coibentate - E’ responsabilità del datore di lavoro dell’appaltatore dotare il proprio personale di idonei dispositivi di protezione- Ove necessario, i tratti di tubazione o i pezzi ancora caldi dovranno essere protetti con materiale termoisolante.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8" type="#_x0000_t75" style="width:173.95pt;height:47.8pt" o:ole="">
                  <v:imagedata r:id="rId8" o:title=""/>
                </v:shape>
                <w:control r:id="rId12" w:name="DefaultOcxName5" w:shapeid="_x0000_i1418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Contatto e/o inalazione di prodotti chimici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7" type="#_x0000_t75" style="width:20.15pt;height:17.3pt" o:ole="">
                  <v:imagedata r:id="rId6" o:title=""/>
                </v:shape>
                <w:control r:id="rId13" w:name="DefaultOcxName6" w:shapeid="_x0000_i1417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6" type="#_x0000_t75" style="width:20.15pt;height:17.3pt" o:ole="">
                  <v:imagedata r:id="rId6" o:title=""/>
                </v:shape>
                <w:control r:id="rId14" w:name="DefaultOcxName7" w:shapeid="_x0000_i1416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di manutenzione, con eventuale presenza di prodotti chimici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Prima di iniziare un’attività il personale della Committente procederà alla messa in sicurezza dell’impianto coinvolto dalle attività - Verificare, prima di ogni operazione, la funzionalità delle fontane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lavaocchi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e delle docce di sicurezza posizionate nelle vicinanze dell’area di lavoro - La committente e l’appaltatore per quanto di propria responsabilità metteranno a disposizione la scheda di sicurezza dei prodotti chimici - In caso di spargimento al suolo o su altre parti dell’impianto attenersi alle indicazioni del personale della Committente e alle indicazioni previste in loco - Obbligo di utilizzo di idonei dispositivi di protezione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5" type="#_x0000_t75" style="width:173.95pt;height:47.8pt" o:ole="">
                  <v:imagedata r:id="rId8" o:title=""/>
                </v:shape>
                <w:control r:id="rId15" w:name="DefaultOcxName8" w:shapeid="_x0000_i1415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Urti, difficoltà di accesso, spazi ristretti, limitazione delle vie di fuga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4" type="#_x0000_t75" style="width:20.15pt;height:17.3pt" o:ole="">
                  <v:imagedata r:id="rId4" o:title=""/>
                </v:shape>
                <w:control r:id="rId16" w:name="DefaultOcxName9" w:shapeid="_x0000_i1414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3" type="#_x0000_t75" style="width:20.15pt;height:17.3pt" o:ole="">
                  <v:imagedata r:id="rId6" o:title=""/>
                </v:shape>
                <w:control r:id="rId17" w:name="DefaultOcxName10" w:shapeid="_x0000_i1413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varie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Mantenere i piani di lavoro sgombri da oggetti &lt;- Mantenere sempre libere le vie di fuga - A fine lavoro rimuovere accuratamente tutte le opere provvisionali, gli attrezzi, le attrezzature impiegate ed i materiali di risulta.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2" type="#_x0000_t75" style="width:173.95pt;height:47.8pt" o:ole="">
                  <v:imagedata r:id="rId8" o:title=""/>
                </v:shape>
                <w:control r:id="rId18" w:name="DefaultOcxName11" w:shapeid="_x0000_i1412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Spazi confinati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1" type="#_x0000_t75" style="width:20.15pt;height:17.3pt" o:ole="">
                  <v:imagedata r:id="rId6" o:title=""/>
                </v:shape>
                <w:control r:id="rId19" w:name="DefaultOcxName12" w:shapeid="_x0000_i1411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10" type="#_x0000_t75" style="width:20.15pt;height:17.3pt" o:ole="">
                  <v:imagedata r:id="rId6" o:title=""/>
                </v:shape>
                <w:control r:id="rId20" w:name="DefaultOcxName13" w:shapeid="_x0000_i1410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Qualsiasi attività che necessita l'accesso allo spazio confinato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L'impresa esecutrice deve sempre redigere e seguire una specifica procedura di lavoro per l'attività in spazi confinati. - La procedura deve comprendere anche le modalità di recupero del personale presente nello spazio, in caso di emergenza. - Tutto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 xml:space="preserve">il personale dell'impresa appaltatrice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dev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'essere in possesso di formazione specifica su tale tipologia di rischio e inoltre almeno il 30% della forza lavoro, tra cui il preposto, deve avere esperienza minima triennale sui lavori in spazi confinati.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409" type="#_x0000_t75" style="width:173.95pt;height:47.8pt" o:ole="">
                  <v:imagedata r:id="rId8" o:title=""/>
                </v:shape>
                <w:control r:id="rId21" w:name="DefaultOcxName14" w:shapeid="_x0000_i1409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Inalazione per eventuale respirazione di CO2 </w:t>
            </w: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br/>
              <w:t>Inalazione per eventuale respirazione di metano.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8" type="#_x0000_t75" style="width:20.15pt;height:17.3pt" o:ole="">
                  <v:imagedata r:id="rId6" o:title=""/>
                </v:shape>
                <w:control r:id="rId22" w:name="DefaultOcxName15" w:shapeid="_x0000_i1408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7" type="#_x0000_t75" style="width:20.15pt;height:17.3pt" o:ole="">
                  <v:imagedata r:id="rId6" o:title=""/>
                </v:shape>
                <w:control r:id="rId23" w:name="DefaultOcxName16" w:shapeid="_x0000_i1407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Interventi di manutenzione sulle parti calde della turbina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E’ fatto obbligo da parte del personale della Committente garantire l’assenza dei gas all’interno delle tubazioni mediante il controllo con adeguati rivelatori, analizzatori misuratori. - Governare il rischio attenendosi a quanto riportato nel permesso di lavoro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6" type="#_x0000_t75" style="width:173.95pt;height:47.8pt" o:ole="">
                  <v:imagedata r:id="rId8" o:title=""/>
                </v:shape>
                <w:control r:id="rId24" w:name="DefaultOcxName17" w:shapeid="_x0000_i1406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Esposizione a campi elettromagnetici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5" type="#_x0000_t75" style="width:20.15pt;height:17.3pt" o:ole="">
                  <v:imagedata r:id="rId6" o:title=""/>
                </v:shape>
                <w:control r:id="rId25" w:name="DefaultOcxName18" w:shapeid="_x0000_i1405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4" type="#_x0000_t75" style="width:20.15pt;height:17.3pt" o:ole="">
                  <v:imagedata r:id="rId6" o:title=""/>
                </v:shape>
                <w:control r:id="rId26" w:name="DefaultOcxName19" w:shapeid="_x0000_i1404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varie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Nelle aree esposte limitare il tempo di esposizione durante l'attività - Governare il rischio attenendosi a quanto riportato nel permesso di lavoro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3" type="#_x0000_t75" style="width:173.95pt;height:47.8pt" o:ole="">
                  <v:imagedata r:id="rId8" o:title=""/>
                </v:shape>
                <w:control r:id="rId27" w:name="DefaultOcxName20" w:shapeid="_x0000_i1403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Esposizione al rumore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2" type="#_x0000_t75" style="width:20.15pt;height:17.3pt" o:ole="">
                  <v:imagedata r:id="rId4" o:title=""/>
                </v:shape>
                <w:control r:id="rId28" w:name="DefaultOcxName21" w:shapeid="_x0000_i1402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401" type="#_x0000_t75" style="width:20.15pt;height:17.3pt" o:ole="">
                  <v:imagedata r:id="rId6" o:title=""/>
                </v:shape>
                <w:control r:id="rId29" w:name="DefaultOcxName22" w:shapeid="_x0000_i1401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varie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I punti più rumorosi della centrale sono segnalati con idonea cartellonistica - Inibizione dell’area in caso di necessità - Obbligo di utilizzo di idonei dispositivi di protezione - L'appaltatore adotterà l'uso di idonei DPI, per i propri operatori, qualora si dovessero utilizzare attrezzature che prevedono la protezione dell'udito. Inoltre informerà il responsabile di esecuzione Lavoro prima dell'inizio di tale attività, in modo da inibire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adeguatamente l'accesso a tale area.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400" type="#_x0000_t75" style="width:173.95pt;height:47.8pt" o:ole="">
                  <v:imagedata r:id="rId8" o:title=""/>
                </v:shape>
                <w:control r:id="rId30" w:name="DefaultOcxName23" w:shapeid="_x0000_i1400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Proiezione di schegge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9" type="#_x0000_t75" style="width:20.15pt;height:17.3pt" o:ole="">
                  <v:imagedata r:id="rId6" o:title=""/>
                </v:shape>
                <w:control r:id="rId31" w:name="DefaultOcxName24" w:shapeid="_x0000_i1399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8" type="#_x0000_t75" style="width:20.15pt;height:17.3pt" o:ole="">
                  <v:imagedata r:id="rId6" o:title=""/>
                </v:shape>
                <w:control r:id="rId32" w:name="DefaultOcxName25" w:shapeid="_x0000_i1398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di manutenzione con utilizzo di mole, ecc.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Inibizione dell’area di lavoro - Utilizzare adeguati schermi per proteggere le persone e le cose, che possono essere colpiti dal materiale. - L'appaltatore adotterà l'uso di idonei DPI, per i propri operatori, qualora si dovessero utilizzare attrezzature che prevedono la proiezione delle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schegge.Inoltre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informerà il responsabile di esecuzione lavoro prima dell'inizio di tale attività, in modo da inibire adeguatamente, se necessario, l'accesso a tale area.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7" type="#_x0000_t75" style="width:173.95pt;height:47.8pt" o:ole="">
                  <v:imagedata r:id="rId8" o:title=""/>
                </v:shape>
                <w:control r:id="rId33" w:name="DefaultOcxName26" w:shapeid="_x0000_i1397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Proiezione di faville, radiazioni luminose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6" type="#_x0000_t75" style="width:20.15pt;height:17.3pt" o:ole="">
                  <v:imagedata r:id="rId6" o:title=""/>
                </v:shape>
                <w:control r:id="rId34" w:name="DefaultOcxName27" w:shapeid="_x0000_i1396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5" type="#_x0000_t75" style="width:20.15pt;height:17.3pt" o:ole="">
                  <v:imagedata r:id="rId6" o:title=""/>
                </v:shape>
                <w:control r:id="rId35" w:name="DefaultOcxName28" w:shapeid="_x0000_i1395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di manutenzione con utilizzo di saldatrici, cannelli ossiacetilenici, ecc.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Sarà fatto obbligo di delimitare la zona di lavoro per evitare di avvicinarsi alle zone di pericolo &lt;- Disposizione in loco di idonei estintori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4" type="#_x0000_t75" style="width:173.95pt;height:47.8pt" o:ole="">
                  <v:imagedata r:id="rId8" o:title=""/>
                </v:shape>
                <w:control r:id="rId36" w:name="DefaultOcxName29" w:shapeid="_x0000_i1394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Contatti con parti in tensione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3" type="#_x0000_t75" style="width:20.15pt;height:17.3pt" o:ole="">
                  <v:imagedata r:id="rId4" o:title=""/>
                </v:shape>
                <w:control r:id="rId37" w:name="DefaultOcxName30" w:shapeid="_x0000_i1393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2" type="#_x0000_t75" style="width:20.15pt;height:17.3pt" o:ole="">
                  <v:imagedata r:id="rId4" o:title=""/>
                </v:shape>
                <w:control r:id="rId38" w:name="DefaultOcxName31" w:shapeid="_x0000_i1392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Attività di manutenzione a parti di impianto di tipo elettrico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Prima di iniziare un’attività il personale della Committente spa procederà alla messa in sicurezza dell’impianto coinvolto dalle attività - I lavori devono essere effettuati da personale esperto e/o avvertito (sarà cura dell’appaltatore fornire le nomine PES o PAV del proprio personale) - Obbligo di non effettuare assolutamente alcuna manovra, intervento, manomissioni, ecc., su quadri che sono in tensione elettrica - Sarà fatto obbligo di delimitare la zona di lavoro per evitare di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avvicinarsi alle zone di pericolo - Sarà fatto obbligo di non transitare, non sostare sui cavi elettrici, né toccarli. - Divieto di utilizzare in modo improprio prolunghe per alimentazione di apparecchiature elettriche - E’ fatto obbligo di utilizzare apparecchiature elettriche alimentate a bassissima tensione (tensione inferiore a 50 V in ac) - E’ responsabilità dei datori di lavoro, per quanto di loro competenza, dotare il proprio personale di idonei dispositivi di protezione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391" type="#_x0000_t75" style="width:173.95pt;height:47.8pt" o:ole="">
                  <v:imagedata r:id="rId8" o:title=""/>
                </v:shape>
                <w:control r:id="rId39" w:name="DefaultOcxName32" w:shapeid="_x0000_i1391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Elettrocuzione in luoghi conduttori ristretti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90" type="#_x0000_t75" style="width:20.15pt;height:17.3pt" o:ole="">
                  <v:imagedata r:id="rId6" o:title=""/>
                </v:shape>
                <w:control r:id="rId40" w:name="DefaultOcxName33" w:shapeid="_x0000_i1390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9" type="#_x0000_t75" style="width:20.15pt;height:17.3pt" o:ole="">
                  <v:imagedata r:id="rId6" o:title=""/>
                </v:shape>
                <w:control r:id="rId41" w:name="DefaultOcxName34" w:shapeid="_x0000_i1389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Lavori con utilizzo di utensili e attrezzature elettriche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Le apparecchiature elettriche portatili presenti all'interno del luogo ristretto devono essere alimentate tramite circuito SELV (bassissima tensione di sicurezza) per mezzo di trasformatore di sicurezza con secondario non superiore a 48 V (BTS). - In alternativa possono essere alimentate anche a 220 V mediante trasformatore di isolamento o mediante l'uso di sorgente autonoma (batterie). - Per ciascun avvolgimento secondario del trasformatore va collegato un solo componente elettrico, a meno che il trasformatore non abbia gli avvolgimenti secondari distinti. E’ vietato collegare al secondario del trasformatore le ciabatte multi presa. - Le lampade portatili devono essere alimentate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esclusivamente tramite circuiti SELV. - I trasformatori di sicurezza (BTS) e di isolamento devono sempre essere situati al di fuori del luogo conduttore ristretto. - Possono essere usati solo cavi tipo: H07RN-F; H07RN8-F; H07BQ-F; FG7OK; Saldatrici: - tutte le saldatrici devono essere "idonee ai luoghi a maggior rischio di scossa elettrica" e quindi marcate con il simbolo di una "S" all'interno di un quadrato; - le saldatrici devono essere situate al di fuori del luogo conduttore ristretto. Se ciò non è possibile, devono essere alimentate da un trasformatore di isolamento, da posizionare all'esterno del luogo. - è vietato alimentare apparecchiature elettriche portatili dalla saldatrice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388" type="#_x0000_t75" style="width:173.95pt;height:47.8pt" o:ole="">
                  <v:imagedata r:id="rId8" o:title=""/>
                </v:shape>
                <w:control r:id="rId42" w:name="DefaultOcxName35" w:shapeid="_x0000_i1388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Elettrocuzione per presenza linee elettriche aeree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7" type="#_x0000_t75" style="width:20.15pt;height:17.3pt" o:ole="">
                  <v:imagedata r:id="rId6" o:title=""/>
                </v:shape>
                <w:control r:id="rId43" w:name="DefaultOcxName36" w:shapeid="_x0000_i1387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6" type="#_x0000_t75" style="width:20.15pt;height:17.3pt" o:ole="">
                  <v:imagedata r:id="rId6" o:title=""/>
                </v:shape>
                <w:control r:id="rId44" w:name="DefaultOcxName37" w:shapeid="_x0000_i1386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lavori o transito in prossimità di linee elettriche aeree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1) prima di avviare qualsiasi attività l’appaltatore dovrà accertarsi dell’assenza di linee elettriche aeree;2) prima di iniziare i lavori, valutare necessità di installare eventuali barriere fisiche o la possibilità di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disalimentare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la linea;3) durante le attività lavorative qualsiasi parte delle attrezzature dovrà rimanere ad una distanza superiore a 7 metri da ciascun conduttore;4) l'appaltatore dovrà sempre valutare che eventuali ingombri durante il transito o manovre in tali aree non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eccedano la distanza di sicurezza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385" type="#_x0000_t75" style="width:173.95pt;height:47.8pt" o:ole="">
                  <v:imagedata r:id="rId8" o:title=""/>
                </v:shape>
                <w:control r:id="rId45" w:name="DefaultOcxName38" w:shapeid="_x0000_i1385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Rischi da attività di scavo in presenza di sottoservizi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4" type="#_x0000_t75" style="width:20.15pt;height:17.3pt" o:ole="">
                  <v:imagedata r:id="rId6" o:title=""/>
                </v:shape>
                <w:control r:id="rId46" w:name="DefaultOcxName39" w:shapeid="_x0000_i1384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3" type="#_x0000_t75" style="width:20.15pt;height:17.3pt" o:ole="">
                  <v:imagedata r:id="rId6" o:title=""/>
                </v:shape>
                <w:control r:id="rId47" w:name="DefaultOcxName40" w:shapeid="_x0000_i1383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scavi e sondaggi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1) Prima di avviare le attività accertarsi dell'assenza di linee elettriche interrate sottoservizi e altri impianti tramite le informazioni contenute nel modello B2 o l’utilizzo di idonea strumentazione;2) Recintare l'area di scavo, vietare l'ingresso di personale non addetto ai lavori e garantire il rispetto di tale prescrizione;3) Predisporre, sul ciglio dello scavo, idonei parapetti provvisori; 4) Applicare idonee segnalazioni di pericolo;5) Illuminare accuratamente la zona di lavoro durante l’attività notturna;6) Effettuare il lavoro con cautela ed eventualmente a mano, quando non è possibile individuare l’esatta posizione delle condutture, neanche con sistemi elettronici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2" type="#_x0000_t75" style="width:173.95pt;height:47.8pt" o:ole="">
                  <v:imagedata r:id="rId8" o:title=""/>
                </v:shape>
                <w:control r:id="rId48" w:name="DefaultOcxName41" w:shapeid="_x0000_i1382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Esplosione incendio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1" type="#_x0000_t75" style="width:20.15pt;height:17.3pt" o:ole="">
                  <v:imagedata r:id="rId6" o:title=""/>
                </v:shape>
                <w:control r:id="rId49" w:name="DefaultOcxName42" w:shapeid="_x0000_i1381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80" type="#_x0000_t75" style="width:20.15pt;height:17.3pt" o:ole="">
                  <v:imagedata r:id="rId6" o:title=""/>
                </v:shape>
                <w:control r:id="rId50" w:name="DefaultOcxName43" w:shapeid="_x0000_i1380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Lavori di manutenzione all’interno di zone classificate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Prima di iniziare un’attività il personale della Committente procederà alla messa in sicurezza dell’impianto coinvolto dalle attività &lt;- L’illuminazione dovrà essere garantita con lampade elettriche alimentate antideflagranti - Divieto di utilizzare tubazioni, componenti macchine, ecc. in gas come “massa elettrica” o “messa a terra elettrica” - Sarà garantito in ogni caso la presenza di idonei mezzi di estinzione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nei pressi dell’area di lavoro - In occasione di attività di saldatura le bombole ossido acetileniche non dovranno essere esposte a fonti di calore e dovranno essere sistemate su idonei dispositivi porta bombole - Le attività di saldatura dovranno essere effettuate utilizzando attrezzatura rispondente a tutti i requisiti di legge - E’ responsabilità del datore di lavoro dell’appaltatore dotare il proprio personale di idonei dispositivi di protezione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379" type="#_x0000_t75" style="width:173.95pt;height:47.8pt" o:ole="">
                  <v:imagedata r:id="rId8" o:title=""/>
                </v:shape>
                <w:control r:id="rId51" w:name="DefaultOcxName44" w:shapeid="_x0000_i1379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Presenza di gas, vapori nocivi e/o tossici</w:t>
            </w: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br/>
              <w:t>Scarsa ventilazione</w:t>
            </w: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br/>
              <w:t>Esalazioni di gas o vapori nocivi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8" type="#_x0000_t75" style="width:20.15pt;height:17.3pt" o:ole="">
                  <v:imagedata r:id="rId6" o:title=""/>
                </v:shape>
                <w:control r:id="rId52" w:name="DefaultOcxName45" w:shapeid="_x0000_i1378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7" type="#_x0000_t75" style="width:20.15pt;height:17.3pt" o:ole="">
                  <v:imagedata r:id="rId6" o:title=""/>
                </v:shape>
                <w:control r:id="rId53" w:name="DefaultOcxName46" w:shapeid="_x0000_i1377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Ispezioni e lavori di manutenzione in vasche interrate;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utlizzo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di prodotti volatili all'interno di spazi confinati ai fini manutentivi;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Applicare tutte le norme di Legge relative alle attività da eseguire negli ambienti confinati; - Rilevare con le apposite apparecchiature l’assenza di gas nell’ambiente; - Misurare che nell’ambiente vi sia la percentuale giusta di ossigeno (20,8%); - Controllare che gli accessi/uscite siano in buono stato di conservazione e di praticabilità; - Mantenere sempre un’adeguata aerazione e ventilazione; - Disporre di regolamentare illuminazione;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6" type="#_x0000_t75" style="width:173.95pt;height:47.8pt" o:ole="">
                  <v:imagedata r:id="rId8" o:title=""/>
                </v:shape>
                <w:control r:id="rId54" w:name="DefaultOcxName47" w:shapeid="_x0000_i1376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Urti tra automezzi, urti di automezzi contro opere ed impianti, investimento di persone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5" type="#_x0000_t75" style="width:20.15pt;height:17.3pt" o:ole="">
                  <v:imagedata r:id="rId4" o:title=""/>
                </v:shape>
                <w:control r:id="rId55" w:name="DefaultOcxName48" w:shapeid="_x0000_i1375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4" type="#_x0000_t75" style="width:20.15pt;height:17.3pt" o:ole="">
                  <v:imagedata r:id="rId6" o:title=""/>
                </v:shape>
                <w:control r:id="rId56" w:name="DefaultOcxName49" w:shapeid="_x0000_i1374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Rifornimento di prodotti chimici mediante automezzi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- E’ fatto obbligo rispettare la segnaletica presente in centrale e i percorsi indicati dal personale di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Sorgenia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Power</w:t>
            </w:r>
            <w:proofErr w:type="spellEnd"/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 xml:space="preserve"> Spa - E’ fatto obbligo all’interno delle aree gestite da Committente non superare la velocità di 10 km/h e di non entrare, </w:t>
            </w: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salvo specifica autorizzazione, all'interno dell'edificio - E’ severamente vietato caricare in modo improprio gli automezzi - In caso di insufficiente visibilità sarà garantita l’assistenza da parte di personale a terra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lastRenderedPageBreak/>
              <w:object w:dxaOrig="1440" w:dyaOrig="1440">
                <v:shape id="_x0000_i1373" type="#_x0000_t75" style="width:173.95pt;height:47.8pt" o:ole="">
                  <v:imagedata r:id="rId8" o:title=""/>
                </v:shape>
                <w:control r:id="rId57" w:name="DefaultOcxName50" w:shapeid="_x0000_i1373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lastRenderedPageBreak/>
              <w:t>Caduta di materiale in fase di scarico degli automezzi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2" type="#_x0000_t75" style="width:20.15pt;height:17.3pt" o:ole="">
                  <v:imagedata r:id="rId4" o:title=""/>
                </v:shape>
                <w:control r:id="rId58" w:name="DefaultOcxName51" w:shapeid="_x0000_i1372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1" type="#_x0000_t75" style="width:20.15pt;height:17.3pt" o:ole="">
                  <v:imagedata r:id="rId6" o:title=""/>
                </v:shape>
                <w:control r:id="rId59" w:name="DefaultOcxName52" w:shapeid="_x0000_i1371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Inibire le aree di scarico merci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70" type="#_x0000_t75" style="width:173.95pt;height:47.8pt" o:ole="">
                  <v:imagedata r:id="rId8" o:title=""/>
                </v:shape>
                <w:control r:id="rId60" w:name="DefaultOcxName53" w:shapeid="_x0000_i1370"/>
              </w:object>
            </w:r>
          </w:p>
        </w:tc>
      </w:tr>
      <w:tr w:rsidR="00C24295" w:rsidRPr="00C24295" w:rsidTr="00C24295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it-IT"/>
              </w:rPr>
              <w:t>Emergenze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69" type="#_x0000_t75" style="width:20.15pt;height:17.3pt" o:ole="">
                  <v:imagedata r:id="rId4" o:title=""/>
                </v:shape>
                <w:control r:id="rId61" w:name="DefaultOcxName54" w:shapeid="_x0000_i1369"/>
              </w:objec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68" type="#_x0000_t75" style="width:20.15pt;height:17.3pt" o:ole="">
                  <v:imagedata r:id="rId6" o:title=""/>
                </v:shape>
                <w:control r:id="rId62" w:name="DefaultOcxName55" w:shapeid="_x0000_i1368"/>
              </w:objec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In caso di emergenza, attenersi ai comportamenti specificati nel "Documento di Sicurezza e Coordinamento" di centrale e raggiungere il/i punto/i di ritrovo segnalato/i in impianto.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color w:val="161616"/>
                <w:sz w:val="24"/>
                <w:szCs w:val="24"/>
                <w:bdr w:val="none" w:sz="0" w:space="0" w:color="auto" w:frame="1"/>
                <w:lang w:eastAsia="it-IT"/>
              </w:rPr>
              <w:t>- il personale dell’appaltatore verrà informato dal personale della Committente sui comportamenti da tenere in caso di emergenza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24295" w:rsidRPr="00C24295" w:rsidRDefault="00C24295" w:rsidP="00C24295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C24295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object w:dxaOrig="1440" w:dyaOrig="1440">
                <v:shape id="_x0000_i1367" type="#_x0000_t75" style="width:173.95pt;height:47.8pt" o:ole="">
                  <v:imagedata r:id="rId8" o:title=""/>
                </v:shape>
                <w:control r:id="rId63" w:name="DefaultOcxName56" w:shapeid="_x0000_i1367"/>
              </w:object>
            </w:r>
          </w:p>
        </w:tc>
      </w:tr>
    </w:tbl>
    <w:p w:rsidR="002D3B1C" w:rsidRDefault="002D3B1C"/>
    <w:sectPr w:rsidR="002D3B1C" w:rsidSect="00C2429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24295"/>
    <w:rsid w:val="002D3B1C"/>
    <w:rsid w:val="00497C48"/>
    <w:rsid w:val="007C7C49"/>
    <w:rsid w:val="008624D2"/>
    <w:rsid w:val="009F0867"/>
    <w:rsid w:val="00A903D6"/>
    <w:rsid w:val="00C24295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500">
                  <w:marLeft w:val="115"/>
                  <w:marRight w:val="115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FFA500"/>
                            <w:left w:val="single" w:sz="8" w:space="0" w:color="FFA500"/>
                            <w:bottom w:val="single" w:sz="8" w:space="0" w:color="FFA500"/>
                            <w:right w:val="single" w:sz="8" w:space="0" w:color="FFA500"/>
                          </w:divBdr>
                        </w:div>
                        <w:div w:id="1501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2018-05-07T16:19:00Z</dcterms:created>
  <dcterms:modified xsi:type="dcterms:W3CDTF">2018-05-07T16:21:00Z</dcterms:modified>
</cp:coreProperties>
</file>