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C4BA" w14:textId="77777777" w:rsidR="004C53AC" w:rsidRDefault="004C53AC" w:rsidP="004C53AC">
      <w:pPr>
        <w:spacing w:line="360" w:lineRule="auto"/>
        <w:ind w:firstLine="708"/>
        <w:jc w:val="both"/>
        <w:rPr>
          <w:rFonts w:ascii="Times New Roman" w:hAnsi="Times New Roman" w:cs="Times New Roman"/>
        </w:rPr>
      </w:pPr>
      <w:r>
        <w:rPr>
          <w:rFonts w:ascii="Times New Roman" w:hAnsi="Times New Roman" w:cs="Times New Roman"/>
        </w:rPr>
        <w:t>La presentazione dell’offerta, e l’eventuale successiva fornitura, dovrà essere realizzata in piena conformità alla/e Specifica/e Tecnica/e / Disegno/i HRSTS, alle Condizioni Generali di Fornitura HRSTS, e alla Procedura AQU IO 143 Rev. 11 (e/o successive revisioni), che il Fornitore dichiara di conoscere ed accettare.</w:t>
      </w:r>
    </w:p>
    <w:p w14:paraId="1020F116" w14:textId="77777777" w:rsidR="004C53AC" w:rsidRDefault="004C53AC" w:rsidP="004C53AC">
      <w:pPr>
        <w:pStyle w:val="Rientrocorpodeltesto"/>
        <w:spacing w:line="360" w:lineRule="auto"/>
        <w:ind w:left="0" w:firstLine="708"/>
        <w:rPr>
          <w:rFonts w:ascii="Times New Roman" w:hAnsi="Times New Roman" w:cs="Times New Roman"/>
          <w:sz w:val="22"/>
          <w:szCs w:val="22"/>
        </w:rPr>
      </w:pPr>
    </w:p>
    <w:p w14:paraId="5ACD807A" w14:textId="77777777" w:rsidR="004C53AC" w:rsidRDefault="004C53AC" w:rsidP="004C53AC">
      <w:pPr>
        <w:pStyle w:val="Rientrocorpodeltesto"/>
        <w:spacing w:line="360" w:lineRule="auto"/>
        <w:ind w:left="0" w:firstLine="708"/>
        <w:rPr>
          <w:rFonts w:ascii="Times New Roman" w:hAnsi="Times New Roman" w:cs="Times New Roman"/>
          <w:sz w:val="22"/>
          <w:szCs w:val="22"/>
        </w:rPr>
      </w:pPr>
      <w:r>
        <w:rPr>
          <w:rFonts w:ascii="Times New Roman" w:hAnsi="Times New Roman" w:cs="Times New Roman"/>
          <w:sz w:val="22"/>
          <w:szCs w:val="22"/>
        </w:rPr>
        <w:t>Il Fornitore si impegna sin da ora a:</w:t>
      </w:r>
    </w:p>
    <w:p w14:paraId="18C6BDF6" w14:textId="77777777" w:rsidR="004C53AC" w:rsidRDefault="004C53AC" w:rsidP="004C53AC">
      <w:pPr>
        <w:pStyle w:val="Rientrocorpodeltesto"/>
        <w:spacing w:line="360" w:lineRule="auto"/>
        <w:ind w:left="0"/>
        <w:rPr>
          <w:rFonts w:ascii="Times New Roman" w:hAnsi="Times New Roman" w:cs="Times New Roman"/>
          <w:sz w:val="22"/>
          <w:szCs w:val="22"/>
        </w:rPr>
      </w:pPr>
      <w:r>
        <w:rPr>
          <w:rFonts w:ascii="Times New Roman" w:hAnsi="Times New Roman" w:cs="Times New Roman"/>
          <w:b/>
          <w:bCs/>
          <w:i/>
          <w:iCs/>
          <w:sz w:val="22"/>
          <w:szCs w:val="22"/>
        </w:rPr>
        <w:t>a)</w:t>
      </w:r>
      <w:r>
        <w:rPr>
          <w:rFonts w:ascii="Times New Roman" w:hAnsi="Times New Roman" w:cs="Times New Roman"/>
          <w:sz w:val="22"/>
          <w:szCs w:val="22"/>
        </w:rPr>
        <w:t xml:space="preserve"> mantenere il prezzo che indicherà in offerta fisso e invariabile per tutta la durata della commessa citata, e in ogni caso per tutti gli Ordini di Acquisto emessi sino al</w:t>
      </w:r>
      <w:r>
        <w:rPr>
          <w:rFonts w:ascii="Times New Roman" w:hAnsi="Times New Roman" w:cs="Times New Roman"/>
          <w:b/>
          <w:bCs/>
          <w:sz w:val="22"/>
          <w:szCs w:val="22"/>
        </w:rPr>
        <w:t xml:space="preserve"> 31/12/2022</w:t>
      </w:r>
      <w:r>
        <w:rPr>
          <w:rFonts w:ascii="Times New Roman" w:hAnsi="Times New Roman" w:cs="Times New Roman"/>
          <w:sz w:val="22"/>
          <w:szCs w:val="22"/>
        </w:rPr>
        <w:t>;</w:t>
      </w:r>
    </w:p>
    <w:p w14:paraId="1B724097" w14:textId="77777777" w:rsidR="004C53AC" w:rsidRDefault="004C53AC" w:rsidP="004C53AC">
      <w:pPr>
        <w:pStyle w:val="Rientrocorpodeltesto"/>
        <w:spacing w:line="360" w:lineRule="auto"/>
        <w:ind w:left="0"/>
        <w:rPr>
          <w:rFonts w:ascii="Times New Roman" w:hAnsi="Times New Roman" w:cs="Times New Roman"/>
          <w:sz w:val="22"/>
          <w:szCs w:val="22"/>
        </w:rPr>
      </w:pPr>
      <w:r>
        <w:rPr>
          <w:rFonts w:ascii="Times New Roman" w:hAnsi="Times New Roman" w:cs="Times New Roman"/>
          <w:b/>
          <w:bCs/>
          <w:i/>
          <w:iCs/>
          <w:sz w:val="22"/>
          <w:szCs w:val="22"/>
        </w:rPr>
        <w:t>b)</w:t>
      </w:r>
      <w:r>
        <w:rPr>
          <w:rFonts w:ascii="Times New Roman" w:hAnsi="Times New Roman" w:cs="Times New Roman"/>
          <w:sz w:val="22"/>
          <w:szCs w:val="22"/>
        </w:rPr>
        <w:t xml:space="preserve"> rispettare le date di consegna che saranno indicate nei successivi eventuali Ordini di Acquisto HRSTS;</w:t>
      </w:r>
    </w:p>
    <w:p w14:paraId="09249981" w14:textId="77777777" w:rsidR="004C53AC" w:rsidRDefault="004C53AC" w:rsidP="004C53AC">
      <w:pPr>
        <w:pStyle w:val="Rientrocorpodeltesto"/>
        <w:spacing w:line="360" w:lineRule="auto"/>
        <w:ind w:left="0"/>
        <w:rPr>
          <w:rFonts w:ascii="Times New Roman" w:hAnsi="Times New Roman" w:cs="Times New Roman"/>
          <w:sz w:val="22"/>
          <w:szCs w:val="22"/>
        </w:rPr>
      </w:pPr>
      <w:r>
        <w:rPr>
          <w:rFonts w:ascii="Times New Roman" w:hAnsi="Times New Roman" w:cs="Times New Roman"/>
          <w:b/>
          <w:bCs/>
          <w:i/>
          <w:iCs/>
          <w:sz w:val="22"/>
          <w:szCs w:val="22"/>
        </w:rPr>
        <w:t>c)</w:t>
      </w:r>
      <w:r>
        <w:rPr>
          <w:rFonts w:ascii="Times New Roman" w:hAnsi="Times New Roman" w:cs="Times New Roman"/>
          <w:sz w:val="22"/>
          <w:szCs w:val="22"/>
        </w:rPr>
        <w:t xml:space="preserve"> consegnare i rotori finiti e bilanciati presso lo Stabilimento HRSTS di Napoli DDP secondo Incoterms 2010, con imballo previsto nella AQU IO 143 Rev. 11 (e/o successive Revisioni) quotato separatamente;</w:t>
      </w:r>
    </w:p>
    <w:p w14:paraId="5C21A9A0" w14:textId="77777777" w:rsidR="004C53AC" w:rsidRDefault="004C53AC" w:rsidP="004C53AC">
      <w:pPr>
        <w:pStyle w:val="Rientrocorpodeltesto"/>
        <w:spacing w:line="360" w:lineRule="auto"/>
        <w:ind w:left="0"/>
        <w:rPr>
          <w:rFonts w:ascii="Times New Roman" w:hAnsi="Times New Roman" w:cs="Times New Roman"/>
          <w:sz w:val="22"/>
          <w:szCs w:val="22"/>
        </w:rPr>
      </w:pPr>
      <w:r>
        <w:rPr>
          <w:rFonts w:ascii="Times New Roman" w:hAnsi="Times New Roman" w:cs="Times New Roman"/>
          <w:b/>
          <w:bCs/>
          <w:i/>
          <w:iCs/>
          <w:sz w:val="22"/>
          <w:szCs w:val="22"/>
        </w:rPr>
        <w:t>d)</w:t>
      </w:r>
      <w:r>
        <w:rPr>
          <w:rFonts w:ascii="Times New Roman" w:hAnsi="Times New Roman" w:cs="Times New Roman"/>
          <w:sz w:val="22"/>
          <w:szCs w:val="22"/>
        </w:rPr>
        <w:t xml:space="preserve"> garantire la fornitura per n. 24 mesi dalla data di installazione, e non oltre n. 36 mesi dalla data di consegna ad HRSTS;</w:t>
      </w:r>
    </w:p>
    <w:p w14:paraId="12754F12" w14:textId="77777777" w:rsidR="004C53AC" w:rsidRDefault="004C53AC" w:rsidP="004C53AC">
      <w:pPr>
        <w:pStyle w:val="Rientrocorpodeltesto"/>
        <w:spacing w:line="360" w:lineRule="auto"/>
        <w:ind w:left="0"/>
        <w:rPr>
          <w:rFonts w:ascii="Times New Roman" w:hAnsi="Times New Roman" w:cs="Times New Roman"/>
          <w:sz w:val="22"/>
          <w:szCs w:val="22"/>
        </w:rPr>
      </w:pPr>
      <w:r>
        <w:rPr>
          <w:rFonts w:ascii="Times New Roman" w:hAnsi="Times New Roman" w:cs="Times New Roman"/>
          <w:b/>
          <w:bCs/>
          <w:i/>
          <w:iCs/>
          <w:sz w:val="22"/>
          <w:szCs w:val="22"/>
        </w:rPr>
        <w:t>e)</w:t>
      </w:r>
      <w:r>
        <w:rPr>
          <w:rFonts w:ascii="Times New Roman" w:hAnsi="Times New Roman" w:cs="Times New Roman"/>
          <w:sz w:val="22"/>
          <w:szCs w:val="22"/>
        </w:rPr>
        <w:t xml:space="preserve"> emettere fattura al momento della consegna dei rotori finiti e bilanciati ad HRSTS, con pagamento 60 gg data fattura fine mese.  </w:t>
      </w:r>
    </w:p>
    <w:p w14:paraId="39672740" w14:textId="77777777" w:rsidR="004C53AC" w:rsidRDefault="004C53AC" w:rsidP="004C53AC">
      <w:pPr>
        <w:pStyle w:val="Rientrocorpodeltesto"/>
        <w:spacing w:line="360" w:lineRule="auto"/>
        <w:ind w:left="0"/>
        <w:rPr>
          <w:rFonts w:ascii="Times New Roman" w:hAnsi="Times New Roman" w:cs="Times New Roman"/>
          <w:sz w:val="22"/>
          <w:szCs w:val="22"/>
        </w:rPr>
      </w:pPr>
    </w:p>
    <w:p w14:paraId="4559A78E" w14:textId="77777777" w:rsidR="004C53AC" w:rsidRDefault="004C53AC" w:rsidP="004C53AC">
      <w:pPr>
        <w:pStyle w:val="Rientrocorpodeltesto"/>
        <w:spacing w:line="360" w:lineRule="auto"/>
        <w:ind w:left="0" w:firstLine="708"/>
        <w:rPr>
          <w:rFonts w:ascii="Times New Roman" w:hAnsi="Times New Roman" w:cs="Times New Roman"/>
          <w:sz w:val="22"/>
          <w:szCs w:val="22"/>
        </w:rPr>
      </w:pPr>
      <w:r>
        <w:rPr>
          <w:rFonts w:ascii="Times New Roman" w:hAnsi="Times New Roman" w:cs="Times New Roman"/>
          <w:sz w:val="22"/>
          <w:szCs w:val="22"/>
        </w:rPr>
        <w:t xml:space="preserve">Qualora HRSTS, per ragioni indipendenti dalla sua volontà (a titolo di esempio, ma non esaustive: cancellazione fornitura da parte del Cliente finale, significative modifiche tecniche richieste dal Cliente finale, </w:t>
      </w:r>
      <w:proofErr w:type="spellStart"/>
      <w:r>
        <w:rPr>
          <w:rFonts w:ascii="Times New Roman" w:hAnsi="Times New Roman" w:cs="Times New Roman"/>
          <w:sz w:val="22"/>
          <w:szCs w:val="22"/>
        </w:rPr>
        <w:t>etc</w:t>
      </w:r>
      <w:proofErr w:type="spellEnd"/>
      <w:r>
        <w:rPr>
          <w:rFonts w:ascii="Times New Roman" w:hAnsi="Times New Roman" w:cs="Times New Roman"/>
          <w:sz w:val="22"/>
          <w:szCs w:val="22"/>
        </w:rPr>
        <w:t>… ) non dovesse procedere all’emissione di Ordini di Acquisto, o dovesse procedere all’emissione di Ordini di Acquisto di fornitura parziale rispetto a quanto richiesto, il Fornitore non avrà nulla a pretendere da HRSTS, rinunciando sin da ora a qualunque pretesa e/o azione nei confronti della stessa, avendo già valutato tale eventualità.</w:t>
      </w:r>
    </w:p>
    <w:p w14:paraId="1B7DBC3E" w14:textId="77777777" w:rsidR="004C53AC" w:rsidRDefault="004C53AC" w:rsidP="004C53AC">
      <w:pPr>
        <w:pStyle w:val="Rientrocorpodeltesto"/>
        <w:spacing w:line="360" w:lineRule="auto"/>
        <w:ind w:left="0"/>
        <w:rPr>
          <w:rFonts w:ascii="Times New Roman" w:hAnsi="Times New Roman" w:cs="Times New Roman"/>
          <w:sz w:val="22"/>
          <w:szCs w:val="22"/>
        </w:rPr>
      </w:pPr>
    </w:p>
    <w:p w14:paraId="41AB5F34" w14:textId="77777777" w:rsidR="004C53AC" w:rsidRDefault="004C53AC" w:rsidP="004C53AC">
      <w:pPr>
        <w:spacing w:line="360" w:lineRule="auto"/>
        <w:ind w:firstLine="720"/>
        <w:jc w:val="both"/>
        <w:rPr>
          <w:rFonts w:ascii="Times New Roman" w:hAnsi="Times New Roman" w:cs="Times New Roman"/>
        </w:rPr>
      </w:pPr>
      <w:r>
        <w:rPr>
          <w:rFonts w:ascii="Times New Roman" w:hAnsi="Times New Roman" w:cs="Times New Roman"/>
        </w:rPr>
        <w:t>Nel caso dovessero essere emessi Ordini di Acquisto di valore pari o superiore a € 250.000,00 (Euro duecentocinquantamila/00), il Fornitore si impegnerà a presentare, previa accettazione da parte HRSTS, garanzia fideiussoria di valore pari al 10% (dieci per cento) dell’importo dell’Ordine di Acquisto, a mezzo di polizza fideiussoria bancaria o assicurativa a prima domanda costituente contratto autonomo di garanzia “Performance Bond” provvisto di specifica clausola idonea ad indicare l’esclusione della facoltà del garante di opporre al creditore le eccezioni spettanti al debitore principale, ivi compresa l’estinzione del rapporto.</w:t>
      </w:r>
    </w:p>
    <w:p w14:paraId="66702F12" w14:textId="77777777" w:rsidR="004C53AC" w:rsidRDefault="004C53AC" w:rsidP="004C53AC">
      <w:pPr>
        <w:spacing w:line="360" w:lineRule="auto"/>
        <w:jc w:val="both"/>
        <w:rPr>
          <w:rFonts w:ascii="Times New Roman" w:hAnsi="Times New Roman" w:cs="Times New Roman"/>
        </w:rPr>
      </w:pPr>
      <w:r>
        <w:rPr>
          <w:rFonts w:ascii="Times New Roman" w:hAnsi="Times New Roman" w:cs="Times New Roman"/>
        </w:rPr>
        <w:t>HRSTS avrà diritto di avvalersi – senza necessità di diffida o di provvedimento giudiziario e senza che il Fornitore, ne l’Istituto bancario/assicurativo, possano opporre eccezioni - in tutto o in parte sulla cauzione suddetta, onde rivalersi dei danni che essa affermi di aver subito – sulla base dei propri accertamenti – in ragione dell’espletamento delle prestazioni oggetto dell’Ordine di Acquisto, e ciò senza pregiudizio dell’eventuale maggior danno della somma eccedente la somma versata.</w:t>
      </w:r>
    </w:p>
    <w:p w14:paraId="78CAB5EE" w14:textId="77777777" w:rsidR="004C53AC" w:rsidRDefault="004C53AC" w:rsidP="004C53AC">
      <w:pPr>
        <w:spacing w:line="360" w:lineRule="auto"/>
        <w:jc w:val="both"/>
        <w:rPr>
          <w:rFonts w:ascii="Times New Roman" w:hAnsi="Times New Roman" w:cs="Times New Roman"/>
        </w:rPr>
      </w:pPr>
      <w:r>
        <w:rPr>
          <w:rFonts w:ascii="Times New Roman" w:hAnsi="Times New Roman" w:cs="Times New Roman"/>
        </w:rPr>
        <w:t>HRSTS potrà altresì avvalersi della cauzione anche per la realizzazione di qualsiasi eventuale credito la medesima dichiarasse – sulla base dei propri accertamenti – di vantare nei riguardi del Fornitore, ivi compresa la riscossione di penali.</w:t>
      </w:r>
    </w:p>
    <w:p w14:paraId="13B256FC" w14:textId="77777777" w:rsidR="004C53AC" w:rsidRDefault="004C53AC" w:rsidP="004C53AC">
      <w:pPr>
        <w:ind w:firstLine="708"/>
        <w:jc w:val="both"/>
        <w:rPr>
          <w:rFonts w:ascii="Times New Roman" w:hAnsi="Times New Roman" w:cs="Times New Roman"/>
          <w:b/>
          <w:bCs/>
          <w:sz w:val="24"/>
          <w:szCs w:val="24"/>
          <w:u w:val="single"/>
        </w:rPr>
      </w:pPr>
    </w:p>
    <w:p w14:paraId="3BBFCE33" w14:textId="77777777" w:rsidR="004C53AC" w:rsidRDefault="004C53AC" w:rsidP="004C53AC">
      <w:pPr>
        <w:ind w:firstLine="708"/>
        <w:jc w:val="both"/>
        <w:rPr>
          <w:rFonts w:ascii="Times New Roman" w:hAnsi="Times New Roman" w:cs="Times New Roman"/>
          <w:sz w:val="24"/>
          <w:szCs w:val="24"/>
        </w:rPr>
      </w:pPr>
      <w:r>
        <w:rPr>
          <w:rFonts w:ascii="Times New Roman" w:hAnsi="Times New Roman" w:cs="Times New Roman"/>
          <w:b/>
          <w:bCs/>
          <w:sz w:val="24"/>
          <w:szCs w:val="24"/>
          <w:u w:val="single"/>
        </w:rPr>
        <w:t>Si prega far pervenire offerta, in risposta alla presente comunicazione, entro e non oltre il prossimo 25 giugno 2021</w:t>
      </w:r>
      <w:r>
        <w:rPr>
          <w:rFonts w:ascii="Times New Roman" w:hAnsi="Times New Roman" w:cs="Times New Roman"/>
          <w:sz w:val="24"/>
          <w:szCs w:val="24"/>
        </w:rPr>
        <w:t>.</w:t>
      </w:r>
    </w:p>
    <w:p w14:paraId="48564D66" w14:textId="77777777" w:rsidR="004C53AC" w:rsidRDefault="004C53AC" w:rsidP="004C53AC">
      <w:r>
        <w:rPr>
          <w:rFonts w:ascii="Times New Roman" w:hAnsi="Times New Roman" w:cs="Times New Roman"/>
          <w:sz w:val="24"/>
          <w:szCs w:val="24"/>
        </w:rPr>
        <w:t> </w:t>
      </w:r>
    </w:p>
    <w:p w14:paraId="31E417D9" w14:textId="77777777" w:rsidR="004C53AC" w:rsidRDefault="004C53AC" w:rsidP="004C53AC">
      <w:pPr>
        <w:spacing w:line="360" w:lineRule="auto"/>
        <w:ind w:firstLine="720"/>
        <w:jc w:val="both"/>
        <w:rPr>
          <w:rFonts w:ascii="Times New Roman" w:hAnsi="Times New Roman" w:cs="Times New Roman"/>
        </w:rPr>
      </w:pPr>
      <w:r>
        <w:rPr>
          <w:rFonts w:ascii="Times New Roman" w:hAnsi="Times New Roman" w:cs="Times New Roman"/>
        </w:rPr>
        <w:t>In attesa di riscontro,</w:t>
      </w:r>
    </w:p>
    <w:p w14:paraId="1673B8DA" w14:textId="77777777" w:rsidR="004C53AC" w:rsidRDefault="004C53AC" w:rsidP="004C53AC">
      <w:pPr>
        <w:spacing w:line="360" w:lineRule="auto"/>
        <w:jc w:val="both"/>
        <w:rPr>
          <w:rFonts w:ascii="Times New Roman" w:hAnsi="Times New Roman" w:cs="Times New Roman"/>
        </w:rPr>
      </w:pPr>
      <w:r>
        <w:rPr>
          <w:rFonts w:ascii="Times New Roman" w:hAnsi="Times New Roman" w:cs="Times New Roman"/>
        </w:rPr>
        <w:t>saluto e ringrazio</w:t>
      </w:r>
    </w:p>
    <w:p w14:paraId="70872E93" w14:textId="77777777" w:rsidR="004C53AC" w:rsidRDefault="004C53AC" w:rsidP="004C53AC">
      <w:pPr>
        <w:rPr>
          <w:rFonts w:ascii="Times New Roman" w:hAnsi="Times New Roman" w:cs="Times New Roman"/>
          <w:color w:val="0000FF"/>
          <w:sz w:val="24"/>
          <w:szCs w:val="24"/>
        </w:rPr>
      </w:pPr>
    </w:p>
    <w:tbl>
      <w:tblPr>
        <w:tblW w:w="7875" w:type="dxa"/>
        <w:tblCellMar>
          <w:left w:w="0" w:type="dxa"/>
          <w:right w:w="0" w:type="dxa"/>
        </w:tblCellMar>
        <w:tblLook w:val="04A0" w:firstRow="1" w:lastRow="0" w:firstColumn="1" w:lastColumn="0" w:noHBand="0" w:noVBand="1"/>
      </w:tblPr>
      <w:tblGrid>
        <w:gridCol w:w="2295"/>
        <w:gridCol w:w="5580"/>
      </w:tblGrid>
      <w:tr w:rsidR="004C53AC" w14:paraId="4DF9D4BD" w14:textId="77777777" w:rsidTr="004C53AC">
        <w:tc>
          <w:tcPr>
            <w:tcW w:w="2295" w:type="dxa"/>
            <w:tcBorders>
              <w:top w:val="nil"/>
              <w:left w:val="nil"/>
              <w:bottom w:val="nil"/>
              <w:right w:val="single" w:sz="12" w:space="0" w:color="FF0000"/>
            </w:tcBorders>
            <w:vAlign w:val="center"/>
            <w:hideMark/>
          </w:tcPr>
          <w:p w14:paraId="0D12C420" w14:textId="5963E71E" w:rsidR="004C53AC" w:rsidRDefault="004C53AC">
            <w:pPr>
              <w:rPr>
                <w:rFonts w:ascii="Times New Roman" w:hAnsi="Times New Roman" w:cs="Times New Roman"/>
                <w:color w:val="000000"/>
                <w:sz w:val="24"/>
                <w:szCs w:val="24"/>
                <w:lang w:eastAsia="en-GB"/>
              </w:rPr>
            </w:pPr>
            <w:r>
              <w:rPr>
                <w:rFonts w:ascii="Times New Roman" w:hAnsi="Times New Roman" w:cs="Times New Roman"/>
                <w:noProof/>
                <w:color w:val="000000"/>
                <w:sz w:val="72"/>
                <w:szCs w:val="72"/>
                <w:lang w:eastAsia="it-IT"/>
              </w:rPr>
              <w:drawing>
                <wp:inline distT="0" distB="0" distL="0" distR="0" wp14:anchorId="53C35272" wp14:editId="39AA67FB">
                  <wp:extent cx="1447800" cy="800100"/>
                  <wp:effectExtent l="0" t="0" r="0" b="0"/>
                  <wp:docPr id="4" name="Immagine 4">
                    <a:hlinkClick xmlns:a="http://schemas.openxmlformats.org/drawingml/2006/main" r:id="rId4"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47800" cy="800100"/>
                          </a:xfrm>
                          <a:prstGeom prst="rect">
                            <a:avLst/>
                          </a:prstGeom>
                          <a:noFill/>
                          <a:ln>
                            <a:noFill/>
                          </a:ln>
                        </pic:spPr>
                      </pic:pic>
                    </a:graphicData>
                  </a:graphic>
                </wp:inline>
              </w:drawing>
            </w:r>
          </w:p>
        </w:tc>
        <w:tc>
          <w:tcPr>
            <w:tcW w:w="0" w:type="auto"/>
            <w:tcMar>
              <w:top w:w="0" w:type="dxa"/>
              <w:left w:w="300" w:type="dxa"/>
              <w:bottom w:w="75" w:type="dxa"/>
              <w:right w:w="0" w:type="dxa"/>
            </w:tcMar>
            <w:vAlign w:val="center"/>
            <w:hideMark/>
          </w:tcPr>
          <w:p w14:paraId="23FAC9E2" w14:textId="77777777" w:rsidR="004C53AC" w:rsidRDefault="004C53AC">
            <w:pPr>
              <w:rPr>
                <w:rFonts w:ascii="Times New Roman" w:hAnsi="Times New Roman" w:cs="Times New Roman"/>
                <w:color w:val="000000"/>
                <w:sz w:val="24"/>
                <w:szCs w:val="24"/>
                <w:lang w:eastAsia="en-GB"/>
              </w:rPr>
            </w:pPr>
            <w:r>
              <w:rPr>
                <w:rFonts w:ascii="Century Gothic" w:hAnsi="Century Gothic"/>
                <w:b/>
                <w:bCs/>
                <w:color w:val="000000"/>
                <w:lang w:eastAsia="en-GB"/>
              </w:rPr>
              <w:t>Diego PIERMATTEO</w:t>
            </w:r>
            <w:r>
              <w:rPr>
                <w:rFonts w:ascii="Times New Roman" w:hAnsi="Times New Roman" w:cs="Times New Roman"/>
                <w:color w:val="000000"/>
                <w:sz w:val="24"/>
                <w:szCs w:val="24"/>
                <w:lang w:eastAsia="en-GB"/>
              </w:rPr>
              <w:br/>
            </w:r>
            <w:r>
              <w:rPr>
                <w:rFonts w:ascii="Century Gothic" w:hAnsi="Century Gothic"/>
                <w:color w:val="000000"/>
                <w:sz w:val="20"/>
                <w:szCs w:val="20"/>
                <w:lang w:eastAsia="en-GB"/>
              </w:rPr>
              <w:t xml:space="preserve">PTB PBG – </w:t>
            </w:r>
            <w:proofErr w:type="spellStart"/>
            <w:r>
              <w:rPr>
                <w:rFonts w:ascii="Century Gothic" w:hAnsi="Century Gothic"/>
                <w:color w:val="000000"/>
                <w:sz w:val="20"/>
                <w:szCs w:val="20"/>
                <w:lang w:eastAsia="en-GB"/>
              </w:rPr>
              <w:t>Bogies</w:t>
            </w:r>
            <w:proofErr w:type="spellEnd"/>
            <w:r>
              <w:rPr>
                <w:rFonts w:ascii="Century Gothic" w:hAnsi="Century Gothic"/>
                <w:color w:val="000000"/>
                <w:sz w:val="20"/>
                <w:szCs w:val="20"/>
                <w:lang w:eastAsia="en-GB"/>
              </w:rPr>
              <w:t xml:space="preserve"> Procurement </w:t>
            </w:r>
            <w:r>
              <w:rPr>
                <w:rFonts w:ascii="Century Gothic" w:hAnsi="Century Gothic"/>
                <w:color w:val="000000"/>
                <w:sz w:val="20"/>
                <w:szCs w:val="20"/>
                <w:lang w:eastAsia="en-GB"/>
              </w:rPr>
              <w:br/>
            </w:r>
            <w:r>
              <w:rPr>
                <w:rFonts w:ascii="Century Gothic" w:hAnsi="Century Gothic"/>
                <w:b/>
                <w:bCs/>
                <w:color w:val="000000"/>
                <w:sz w:val="20"/>
                <w:szCs w:val="20"/>
                <w:lang w:eastAsia="en-GB"/>
              </w:rPr>
              <w:t xml:space="preserve">t: </w:t>
            </w:r>
            <w:r>
              <w:rPr>
                <w:rFonts w:ascii="Century Gothic" w:hAnsi="Century Gothic"/>
                <w:color w:val="000000"/>
                <w:sz w:val="20"/>
                <w:szCs w:val="20"/>
                <w:lang w:eastAsia="en-GB"/>
              </w:rPr>
              <w:t>+39 081 243 7840</w:t>
            </w:r>
            <w:r>
              <w:rPr>
                <w:rFonts w:ascii="Times New Roman" w:hAnsi="Times New Roman" w:cs="Times New Roman"/>
                <w:color w:val="000000"/>
                <w:sz w:val="24"/>
                <w:szCs w:val="24"/>
                <w:lang w:eastAsia="en-GB"/>
              </w:rPr>
              <w:br/>
            </w:r>
            <w:r>
              <w:rPr>
                <w:rFonts w:ascii="Century Gothic" w:hAnsi="Century Gothic"/>
                <w:b/>
                <w:bCs/>
                <w:color w:val="000000"/>
                <w:sz w:val="20"/>
                <w:szCs w:val="20"/>
                <w:lang w:eastAsia="en-GB"/>
              </w:rPr>
              <w:t xml:space="preserve">e: </w:t>
            </w:r>
            <w:hyperlink r:id="rId7" w:history="1">
              <w:r>
                <w:rPr>
                  <w:rStyle w:val="Collegamentoipertestuale"/>
                  <w:rFonts w:ascii="Century Gothic" w:hAnsi="Century Gothic"/>
                  <w:sz w:val="20"/>
                  <w:szCs w:val="20"/>
                  <w:lang w:eastAsia="en-GB"/>
                </w:rPr>
                <w:t>diego.piermatteo@hitachirail.com</w:t>
              </w:r>
            </w:hyperlink>
            <w:r>
              <w:rPr>
                <w:rFonts w:ascii="Times New Roman" w:hAnsi="Times New Roman" w:cs="Times New Roman"/>
                <w:color w:val="000000"/>
                <w:sz w:val="24"/>
                <w:szCs w:val="24"/>
                <w:lang w:eastAsia="en-GB"/>
              </w:rPr>
              <w:br/>
            </w:r>
            <w:r>
              <w:rPr>
                <w:rFonts w:ascii="Century Gothic" w:hAnsi="Century Gothic"/>
                <w:b/>
                <w:bCs/>
                <w:color w:val="000000"/>
                <w:sz w:val="20"/>
                <w:szCs w:val="20"/>
                <w:lang w:eastAsia="en-GB"/>
              </w:rPr>
              <w:t xml:space="preserve">w: </w:t>
            </w:r>
            <w:hyperlink r:id="rId8" w:history="1">
              <w:r>
                <w:rPr>
                  <w:rStyle w:val="Collegamentoipertestuale"/>
                  <w:rFonts w:ascii="Century Gothic" w:hAnsi="Century Gothic"/>
                  <w:color w:val="000000"/>
                  <w:sz w:val="20"/>
                  <w:szCs w:val="20"/>
                  <w:lang w:eastAsia="en-GB"/>
                </w:rPr>
                <w:t>www.hitachirail.com</w:t>
              </w:r>
            </w:hyperlink>
          </w:p>
          <w:tbl>
            <w:tblPr>
              <w:tblW w:w="0" w:type="auto"/>
              <w:tblCellSpacing w:w="0" w:type="dxa"/>
              <w:tblCellMar>
                <w:left w:w="0" w:type="dxa"/>
                <w:right w:w="0" w:type="dxa"/>
              </w:tblCellMar>
              <w:tblLook w:val="04A0" w:firstRow="1" w:lastRow="0" w:firstColumn="1" w:lastColumn="0" w:noHBand="0" w:noVBand="1"/>
            </w:tblPr>
            <w:tblGrid>
              <w:gridCol w:w="465"/>
              <w:gridCol w:w="465"/>
              <w:gridCol w:w="465"/>
            </w:tblGrid>
            <w:tr w:rsidR="004C53AC" w14:paraId="1D4FBD1A" w14:textId="77777777">
              <w:trPr>
                <w:tblCellSpacing w:w="0" w:type="dxa"/>
              </w:trPr>
              <w:tc>
                <w:tcPr>
                  <w:tcW w:w="0" w:type="auto"/>
                  <w:tcMar>
                    <w:top w:w="75" w:type="dxa"/>
                    <w:left w:w="0" w:type="dxa"/>
                    <w:bottom w:w="0" w:type="dxa"/>
                    <w:right w:w="75" w:type="dxa"/>
                  </w:tcMar>
                  <w:hideMark/>
                </w:tcPr>
                <w:p w14:paraId="671F96CD" w14:textId="74EE319E" w:rsidR="004C53AC" w:rsidRDefault="004C53AC">
                  <w:pPr>
                    <w:jc w:val="center"/>
                    <w:rPr>
                      <w:rFonts w:ascii="Times New Roman" w:hAnsi="Times New Roman" w:cs="Times New Roman"/>
                      <w:color w:val="000000"/>
                      <w:sz w:val="24"/>
                      <w:szCs w:val="24"/>
                      <w:lang w:eastAsia="en-GB"/>
                    </w:rPr>
                  </w:pPr>
                  <w:r>
                    <w:rPr>
                      <w:rFonts w:ascii="Times New Roman" w:hAnsi="Times New Roman" w:cs="Times New Roman"/>
                      <w:noProof/>
                      <w:color w:val="000000"/>
                      <w:sz w:val="24"/>
                      <w:szCs w:val="24"/>
                      <w:lang w:eastAsia="it-IT"/>
                    </w:rPr>
                    <w:drawing>
                      <wp:inline distT="0" distB="0" distL="0" distR="0" wp14:anchorId="073EC03A" wp14:editId="1A2412B4">
                        <wp:extent cx="236220" cy="236220"/>
                        <wp:effectExtent l="0" t="0" r="11430" b="11430"/>
                        <wp:docPr id="3" name="Immagine 3">
                          <a:hlinkClick xmlns:a="http://schemas.openxmlformats.org/drawingml/2006/main" r:id="rId9"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c>
                <w:tcPr>
                  <w:tcW w:w="0" w:type="auto"/>
                  <w:tcMar>
                    <w:top w:w="75" w:type="dxa"/>
                    <w:left w:w="0" w:type="dxa"/>
                    <w:bottom w:w="0" w:type="dxa"/>
                    <w:right w:w="75" w:type="dxa"/>
                  </w:tcMar>
                  <w:hideMark/>
                </w:tcPr>
                <w:p w14:paraId="41E91D0D" w14:textId="1782C2BD" w:rsidR="004C53AC" w:rsidRDefault="004C53AC">
                  <w:pPr>
                    <w:jc w:val="center"/>
                    <w:rPr>
                      <w:rFonts w:ascii="Times New Roman" w:hAnsi="Times New Roman" w:cs="Times New Roman"/>
                      <w:color w:val="000000"/>
                      <w:sz w:val="24"/>
                      <w:szCs w:val="24"/>
                      <w:lang w:eastAsia="en-GB"/>
                    </w:rPr>
                  </w:pPr>
                  <w:r>
                    <w:rPr>
                      <w:rFonts w:ascii="Times New Roman" w:hAnsi="Times New Roman" w:cs="Times New Roman"/>
                      <w:noProof/>
                      <w:color w:val="000000"/>
                      <w:sz w:val="24"/>
                      <w:szCs w:val="24"/>
                      <w:lang w:eastAsia="it-IT"/>
                    </w:rPr>
                    <w:drawing>
                      <wp:inline distT="0" distB="0" distL="0" distR="0" wp14:anchorId="0D611843" wp14:editId="6A9955F0">
                        <wp:extent cx="236220" cy="236220"/>
                        <wp:effectExtent l="0" t="0" r="11430" b="11430"/>
                        <wp:docPr id="2" name="Immagine 2">
                          <a:hlinkClick xmlns:a="http://schemas.openxmlformats.org/drawingml/2006/main" r:id="rId12"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c>
                <w:tcPr>
                  <w:tcW w:w="0" w:type="auto"/>
                  <w:tcMar>
                    <w:top w:w="75" w:type="dxa"/>
                    <w:left w:w="0" w:type="dxa"/>
                    <w:bottom w:w="0" w:type="dxa"/>
                    <w:right w:w="75" w:type="dxa"/>
                  </w:tcMar>
                  <w:hideMark/>
                </w:tcPr>
                <w:p w14:paraId="270C48C0" w14:textId="4E065460" w:rsidR="004C53AC" w:rsidRDefault="004C53AC">
                  <w:pPr>
                    <w:jc w:val="center"/>
                    <w:rPr>
                      <w:rFonts w:ascii="Times New Roman" w:hAnsi="Times New Roman" w:cs="Times New Roman"/>
                      <w:color w:val="000000"/>
                      <w:sz w:val="24"/>
                      <w:szCs w:val="24"/>
                      <w:lang w:eastAsia="en-GB"/>
                    </w:rPr>
                  </w:pPr>
                  <w:r>
                    <w:rPr>
                      <w:rFonts w:ascii="Times New Roman" w:hAnsi="Times New Roman" w:cs="Times New Roman"/>
                      <w:noProof/>
                      <w:color w:val="000000"/>
                      <w:sz w:val="24"/>
                      <w:szCs w:val="24"/>
                      <w:lang w:eastAsia="it-IT"/>
                    </w:rPr>
                    <w:drawing>
                      <wp:inline distT="0" distB="0" distL="0" distR="0" wp14:anchorId="60EC75BD" wp14:editId="10E22085">
                        <wp:extent cx="236220" cy="236220"/>
                        <wp:effectExtent l="0" t="0" r="11430" b="11430"/>
                        <wp:docPr id="1" name="Immagine 1">
                          <a:hlinkClick xmlns:a="http://schemas.openxmlformats.org/drawingml/2006/main" r:id="rId15"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bl>
          <w:p w14:paraId="17164FA3" w14:textId="77777777" w:rsidR="004C53AC" w:rsidRDefault="004C53AC">
            <w:pPr>
              <w:rPr>
                <w:rFonts w:ascii="Times New Roman" w:eastAsia="Times New Roman" w:hAnsi="Times New Roman" w:cs="Times New Roman"/>
                <w:sz w:val="20"/>
                <w:szCs w:val="20"/>
                <w:lang w:eastAsia="it-IT"/>
              </w:rPr>
            </w:pPr>
          </w:p>
        </w:tc>
      </w:tr>
    </w:tbl>
    <w:p w14:paraId="21A5EFCD" w14:textId="77777777" w:rsidR="009D0D6B" w:rsidRDefault="009D0D6B"/>
    <w:sectPr w:rsidR="009D0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AC"/>
    <w:rsid w:val="004C53AC"/>
    <w:rsid w:val="009D0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5737"/>
  <w15:chartTrackingRefBased/>
  <w15:docId w15:val="{82EA1D80-8EBB-41F0-8DC0-6587B3C3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53AC"/>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C53AC"/>
    <w:rPr>
      <w:color w:val="0563C1"/>
      <w:u w:val="single"/>
    </w:rPr>
  </w:style>
  <w:style w:type="paragraph" w:styleId="Rientrocorpodeltesto">
    <w:name w:val="Body Text Indent"/>
    <w:basedOn w:val="Normale"/>
    <w:link w:val="RientrocorpodeltestoCarattere"/>
    <w:uiPriority w:val="99"/>
    <w:semiHidden/>
    <w:unhideWhenUsed/>
    <w:rsid w:val="004C53AC"/>
    <w:pPr>
      <w:ind w:left="360"/>
      <w:jc w:val="both"/>
    </w:pPr>
    <w:rPr>
      <w:rFonts w:ascii="Arial" w:hAnsi="Arial" w:cs="Arial"/>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4C53AC"/>
    <w:rPr>
      <w:rFonts w:ascii="Arial"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tachir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ego.piermatteo@hitachirail.com" TargetMode="External"/><Relationship Id="rId12" Type="http://schemas.openxmlformats.org/officeDocument/2006/relationships/hyperlink" Target="https://www.linkedin.com/company/hitachirail" TargetMode="External"/><Relationship Id="rId17" Type="http://schemas.openxmlformats.org/officeDocument/2006/relationships/image" Target="cid:image012.png@01D75ECE.55EA6EA0" TargetMode="External"/><Relationship Id="rId2" Type="http://schemas.openxmlformats.org/officeDocument/2006/relationships/settings" Target="setting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image" Target="cid:image009.png@01D75ECE.55EA6EA0" TargetMode="External"/><Relationship Id="rId11" Type="http://schemas.openxmlformats.org/officeDocument/2006/relationships/image" Target="cid:image010.png@01D75ECE.55EA6EA0" TargetMode="External"/><Relationship Id="rId5" Type="http://schemas.openxmlformats.org/officeDocument/2006/relationships/image" Target="media/image1.png"/><Relationship Id="rId15" Type="http://schemas.openxmlformats.org/officeDocument/2006/relationships/hyperlink" Target="https://twitter.com/hitachirailI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hyperlink" Target="http://www.hitachirail.com/" TargetMode="External"/><Relationship Id="rId9" Type="http://schemas.openxmlformats.org/officeDocument/2006/relationships/hyperlink" Target="https://www.youtube.com/hitachirail" TargetMode="External"/><Relationship Id="rId14" Type="http://schemas.openxmlformats.org/officeDocument/2006/relationships/image" Target="cid:image011.png@01D75ECE.55EA6E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2021-06-22T10:35:00Z</dcterms:created>
  <dcterms:modified xsi:type="dcterms:W3CDTF">2021-06-22T10:37:00Z</dcterms:modified>
</cp:coreProperties>
</file>