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49253" w14:textId="77777777" w:rsidR="00EB6585" w:rsidRDefault="00EB6585" w:rsidP="006E043C">
      <w:pPr>
        <w:spacing w:after="0" w:line="288" w:lineRule="auto"/>
        <w:jc w:val="center"/>
        <w:rPr>
          <w:rFonts w:ascii="Calibri" w:hAnsi="Calibri"/>
          <w:szCs w:val="32"/>
          <w:u w:val="single"/>
        </w:rPr>
      </w:pPr>
    </w:p>
    <w:p w14:paraId="1E1E29CF" w14:textId="77777777" w:rsidR="00EB6585" w:rsidRDefault="00EB6585" w:rsidP="006E043C">
      <w:pPr>
        <w:spacing w:after="0" w:line="288" w:lineRule="auto"/>
        <w:jc w:val="center"/>
        <w:rPr>
          <w:rFonts w:ascii="Calibri" w:hAnsi="Calibri"/>
          <w:szCs w:val="32"/>
          <w:u w:val="single"/>
        </w:rPr>
      </w:pPr>
    </w:p>
    <w:p w14:paraId="0636B1C2" w14:textId="77777777" w:rsidR="00EB6585" w:rsidRDefault="00EB6585" w:rsidP="006E043C">
      <w:pPr>
        <w:spacing w:after="0" w:line="288" w:lineRule="auto"/>
        <w:jc w:val="center"/>
        <w:rPr>
          <w:rFonts w:ascii="Calibri" w:hAnsi="Calibri"/>
          <w:szCs w:val="32"/>
          <w:u w:val="single"/>
        </w:rPr>
      </w:pPr>
    </w:p>
    <w:p w14:paraId="7B4E24DB" w14:textId="77777777" w:rsidR="00EB6585" w:rsidRDefault="00EB6585" w:rsidP="006E043C">
      <w:pPr>
        <w:spacing w:after="0" w:line="288" w:lineRule="auto"/>
        <w:jc w:val="center"/>
        <w:rPr>
          <w:rFonts w:ascii="Calibri" w:hAnsi="Calibri"/>
          <w:szCs w:val="32"/>
          <w:u w:val="single"/>
        </w:rPr>
      </w:pPr>
    </w:p>
    <w:p w14:paraId="7FE8ED66" w14:textId="601517BD" w:rsidR="00EB6585" w:rsidRPr="00EB6585" w:rsidRDefault="00BC591A" w:rsidP="006E043C">
      <w:pPr>
        <w:spacing w:after="0" w:line="288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GRUPPO MAURO SAVIOLA </w:t>
      </w:r>
      <w:proofErr w:type="spellStart"/>
      <w:r>
        <w:rPr>
          <w:rFonts w:ascii="Calibri" w:hAnsi="Calibri"/>
          <w:sz w:val="32"/>
          <w:szCs w:val="32"/>
        </w:rPr>
        <w:t>srl</w:t>
      </w:r>
      <w:proofErr w:type="spellEnd"/>
    </w:p>
    <w:p w14:paraId="25E86E66" w14:textId="58ACCCDD" w:rsidR="00B966F0" w:rsidRPr="00EB6585" w:rsidRDefault="00EB6585" w:rsidP="006E043C">
      <w:pPr>
        <w:spacing w:after="0" w:line="288" w:lineRule="auto"/>
        <w:jc w:val="center"/>
        <w:rPr>
          <w:rFonts w:ascii="Calibri" w:hAnsi="Calibri"/>
          <w:sz w:val="32"/>
          <w:szCs w:val="32"/>
        </w:rPr>
      </w:pPr>
      <w:r w:rsidRPr="00EB6585">
        <w:rPr>
          <w:rFonts w:ascii="Calibri" w:hAnsi="Calibri"/>
          <w:sz w:val="32"/>
          <w:szCs w:val="32"/>
        </w:rPr>
        <w:t xml:space="preserve">Stabilimento di </w:t>
      </w:r>
      <w:r w:rsidR="00BC591A">
        <w:rPr>
          <w:rFonts w:ascii="Calibri" w:hAnsi="Calibri"/>
          <w:sz w:val="32"/>
          <w:szCs w:val="32"/>
        </w:rPr>
        <w:t>Mortara</w:t>
      </w:r>
      <w:r w:rsidR="0068281E">
        <w:rPr>
          <w:rFonts w:ascii="Calibri" w:hAnsi="Calibri"/>
          <w:sz w:val="32"/>
          <w:szCs w:val="32"/>
        </w:rPr>
        <w:t xml:space="preserve"> (</w:t>
      </w:r>
      <w:proofErr w:type="spellStart"/>
      <w:r w:rsidR="00BC591A">
        <w:rPr>
          <w:rFonts w:ascii="Calibri" w:hAnsi="Calibri"/>
          <w:sz w:val="32"/>
          <w:szCs w:val="32"/>
        </w:rPr>
        <w:t>Pv</w:t>
      </w:r>
      <w:proofErr w:type="spellEnd"/>
      <w:r w:rsidR="0068281E">
        <w:rPr>
          <w:rFonts w:ascii="Calibri" w:hAnsi="Calibri"/>
          <w:sz w:val="32"/>
          <w:szCs w:val="32"/>
        </w:rPr>
        <w:t>)</w:t>
      </w:r>
    </w:p>
    <w:p w14:paraId="60DFFAC5" w14:textId="77777777" w:rsidR="00EB6585" w:rsidRPr="00EB6585" w:rsidRDefault="00EB6585" w:rsidP="006E043C">
      <w:pPr>
        <w:spacing w:after="0" w:line="288" w:lineRule="auto"/>
        <w:jc w:val="center"/>
        <w:rPr>
          <w:rFonts w:ascii="Calibri" w:hAnsi="Calibri"/>
          <w:sz w:val="32"/>
          <w:szCs w:val="32"/>
        </w:rPr>
      </w:pPr>
    </w:p>
    <w:p w14:paraId="0BA44EDB" w14:textId="77777777" w:rsidR="00EB6585" w:rsidRDefault="00EB6585" w:rsidP="006E043C">
      <w:pPr>
        <w:spacing w:after="0" w:line="288" w:lineRule="auto"/>
        <w:jc w:val="center"/>
        <w:rPr>
          <w:rFonts w:ascii="Calibri" w:hAnsi="Calibri"/>
          <w:color w:val="2F5496" w:themeColor="accent1" w:themeShade="BF"/>
          <w:szCs w:val="32"/>
        </w:rPr>
      </w:pPr>
    </w:p>
    <w:p w14:paraId="3971E1A1" w14:textId="77777777" w:rsidR="00EB6585" w:rsidRDefault="00EB6585" w:rsidP="006E043C">
      <w:pPr>
        <w:spacing w:after="0" w:line="288" w:lineRule="auto"/>
        <w:jc w:val="center"/>
        <w:rPr>
          <w:rFonts w:ascii="Calibri" w:hAnsi="Calibri"/>
          <w:color w:val="2F5496" w:themeColor="accent1" w:themeShade="BF"/>
          <w:szCs w:val="32"/>
        </w:rPr>
      </w:pPr>
    </w:p>
    <w:p w14:paraId="60E9AE8F" w14:textId="77777777" w:rsidR="00EB6585" w:rsidRDefault="00EB6585" w:rsidP="006E043C">
      <w:pPr>
        <w:spacing w:after="0" w:line="288" w:lineRule="auto"/>
        <w:jc w:val="center"/>
        <w:rPr>
          <w:rFonts w:ascii="Calibri" w:hAnsi="Calibri"/>
          <w:color w:val="2F5496" w:themeColor="accent1" w:themeShade="BF"/>
          <w:szCs w:val="32"/>
        </w:rPr>
      </w:pPr>
    </w:p>
    <w:p w14:paraId="7FDA9251" w14:textId="77777777" w:rsidR="00EB6585" w:rsidRDefault="00EB6585" w:rsidP="006E043C">
      <w:pPr>
        <w:spacing w:after="0" w:line="288" w:lineRule="auto"/>
        <w:jc w:val="center"/>
        <w:rPr>
          <w:rFonts w:ascii="Calibri" w:hAnsi="Calibri"/>
          <w:color w:val="2F5496" w:themeColor="accent1" w:themeShade="BF"/>
          <w:szCs w:val="32"/>
        </w:rPr>
      </w:pPr>
    </w:p>
    <w:p w14:paraId="7F2C1C9E" w14:textId="5B3039A6" w:rsidR="002B7393" w:rsidRDefault="0068281E" w:rsidP="006E043C">
      <w:pPr>
        <w:spacing w:after="0" w:line="288" w:lineRule="auto"/>
        <w:jc w:val="center"/>
        <w:rPr>
          <w:rFonts w:ascii="Calibri" w:hAnsi="Calibri"/>
          <w:b/>
          <w:color w:val="2F5496" w:themeColor="accent1" w:themeShade="BF"/>
          <w:sz w:val="36"/>
          <w:szCs w:val="36"/>
        </w:rPr>
      </w:pPr>
      <w:r>
        <w:rPr>
          <w:rFonts w:ascii="Calibri" w:hAnsi="Calibri"/>
          <w:b/>
          <w:color w:val="2F5496" w:themeColor="accent1" w:themeShade="BF"/>
          <w:sz w:val="36"/>
          <w:szCs w:val="36"/>
        </w:rPr>
        <w:t>Specifica Tecnica</w:t>
      </w:r>
    </w:p>
    <w:p w14:paraId="34E3582E" w14:textId="2C167940" w:rsidR="002B4DF9" w:rsidRDefault="00F548A8" w:rsidP="00F548A8">
      <w:pPr>
        <w:spacing w:after="0" w:line="288" w:lineRule="auto"/>
        <w:rPr>
          <w:rFonts w:ascii="Calibri" w:hAnsi="Calibri"/>
          <w:b/>
          <w:color w:val="2F5496" w:themeColor="accent1" w:themeShade="BF"/>
          <w:sz w:val="36"/>
          <w:szCs w:val="36"/>
        </w:rPr>
      </w:pPr>
      <w:r>
        <w:rPr>
          <w:rFonts w:ascii="Calibri" w:hAnsi="Calibri"/>
          <w:b/>
          <w:color w:val="2F5496" w:themeColor="accent1" w:themeShade="BF"/>
          <w:sz w:val="36"/>
          <w:szCs w:val="36"/>
        </w:rPr>
        <w:t xml:space="preserve">                                              </w:t>
      </w:r>
      <w:r w:rsidR="0034239E">
        <w:rPr>
          <w:rFonts w:ascii="Calibri" w:hAnsi="Calibri"/>
          <w:b/>
          <w:color w:val="2F5496" w:themeColor="accent1" w:themeShade="BF"/>
          <w:sz w:val="36"/>
          <w:szCs w:val="36"/>
        </w:rPr>
        <w:t xml:space="preserve">LMOR </w:t>
      </w:r>
      <w:r>
        <w:rPr>
          <w:rFonts w:ascii="Calibri" w:hAnsi="Calibri"/>
          <w:b/>
          <w:color w:val="2F5496" w:themeColor="accent1" w:themeShade="BF"/>
          <w:sz w:val="36"/>
          <w:szCs w:val="36"/>
        </w:rPr>
        <w:t>213</w:t>
      </w:r>
      <w:r w:rsidR="0034239E">
        <w:rPr>
          <w:rFonts w:ascii="Calibri" w:hAnsi="Calibri"/>
          <w:b/>
          <w:color w:val="2F5496" w:themeColor="accent1" w:themeShade="BF"/>
          <w:sz w:val="36"/>
          <w:szCs w:val="36"/>
        </w:rPr>
        <w:t>-2</w:t>
      </w:r>
      <w:r w:rsidR="000A4F86">
        <w:rPr>
          <w:rFonts w:ascii="Calibri" w:hAnsi="Calibri"/>
          <w:b/>
          <w:color w:val="2F5496" w:themeColor="accent1" w:themeShade="BF"/>
          <w:sz w:val="36"/>
          <w:szCs w:val="36"/>
        </w:rPr>
        <w:t>3</w:t>
      </w:r>
    </w:p>
    <w:p w14:paraId="3310A700" w14:textId="77777777" w:rsidR="00052B90" w:rsidRDefault="00F548A8" w:rsidP="008F2F5A">
      <w:pPr>
        <w:spacing w:after="0" w:line="288" w:lineRule="auto"/>
        <w:jc w:val="center"/>
        <w:rPr>
          <w:rFonts w:ascii="Calibri" w:hAnsi="Calibri"/>
          <w:b/>
          <w:color w:val="2F5496" w:themeColor="accent1" w:themeShade="BF"/>
          <w:sz w:val="36"/>
          <w:szCs w:val="36"/>
        </w:rPr>
      </w:pPr>
      <w:r>
        <w:rPr>
          <w:rFonts w:ascii="Calibri" w:hAnsi="Calibri"/>
          <w:b/>
          <w:color w:val="2F5496" w:themeColor="accent1" w:themeShade="BF"/>
          <w:sz w:val="36"/>
          <w:szCs w:val="36"/>
        </w:rPr>
        <w:t>Bilanciatura e allineamento</w:t>
      </w:r>
      <w:r w:rsidR="00052B90">
        <w:rPr>
          <w:rFonts w:ascii="Calibri" w:hAnsi="Calibri"/>
          <w:b/>
          <w:color w:val="2F5496" w:themeColor="accent1" w:themeShade="BF"/>
          <w:sz w:val="36"/>
          <w:szCs w:val="36"/>
        </w:rPr>
        <w:t xml:space="preserve"> ventilatori- </w:t>
      </w:r>
    </w:p>
    <w:p w14:paraId="1C639B60" w14:textId="20E369B8" w:rsidR="00AE4E00" w:rsidRDefault="00052B90" w:rsidP="008F2F5A">
      <w:pPr>
        <w:spacing w:after="0" w:line="288" w:lineRule="auto"/>
        <w:jc w:val="center"/>
        <w:rPr>
          <w:rFonts w:ascii="Calibri" w:hAnsi="Calibri"/>
          <w:b/>
          <w:color w:val="2F5496" w:themeColor="accent1" w:themeShade="BF"/>
          <w:sz w:val="36"/>
          <w:szCs w:val="36"/>
        </w:rPr>
      </w:pPr>
      <w:r>
        <w:rPr>
          <w:rFonts w:ascii="Calibri" w:hAnsi="Calibri"/>
          <w:b/>
          <w:color w:val="2F5496" w:themeColor="accent1" w:themeShade="BF"/>
          <w:sz w:val="36"/>
          <w:szCs w:val="36"/>
        </w:rPr>
        <w:t>rotori mulini - giranti raffinatori</w:t>
      </w:r>
    </w:p>
    <w:p w14:paraId="2D6BE316" w14:textId="77777777" w:rsidR="008F2F5A" w:rsidRDefault="008F2F5A" w:rsidP="008F2F5A">
      <w:pPr>
        <w:spacing w:after="0" w:line="288" w:lineRule="auto"/>
        <w:jc w:val="center"/>
        <w:rPr>
          <w:rFonts w:ascii="Calibri" w:hAnsi="Calibri"/>
          <w:b/>
          <w:color w:val="2F5496" w:themeColor="accent1" w:themeShade="BF"/>
          <w:sz w:val="36"/>
          <w:szCs w:val="36"/>
        </w:rPr>
      </w:pPr>
    </w:p>
    <w:p w14:paraId="1F4CCF40" w14:textId="77777777" w:rsidR="00BC591A" w:rsidRPr="002B4DF9" w:rsidRDefault="00BC591A" w:rsidP="006E043C">
      <w:pPr>
        <w:spacing w:after="0" w:line="288" w:lineRule="auto"/>
        <w:jc w:val="center"/>
        <w:rPr>
          <w:rFonts w:ascii="Calibri" w:hAnsi="Calibri"/>
          <w:b/>
          <w:color w:val="2F5496" w:themeColor="accent1" w:themeShade="BF"/>
          <w:sz w:val="36"/>
          <w:szCs w:val="36"/>
        </w:rPr>
      </w:pPr>
    </w:p>
    <w:p w14:paraId="10BAA997" w14:textId="77777777" w:rsidR="00EB6585" w:rsidRDefault="00EB6585" w:rsidP="006E043C">
      <w:pPr>
        <w:spacing w:after="0" w:line="288" w:lineRule="auto"/>
        <w:rPr>
          <w:rFonts w:ascii="Calibri" w:hAnsi="Calibri"/>
        </w:rPr>
      </w:pPr>
    </w:p>
    <w:p w14:paraId="6408C744" w14:textId="77777777" w:rsidR="00EB6585" w:rsidRDefault="00EB6585" w:rsidP="006E043C">
      <w:pPr>
        <w:spacing w:after="0" w:line="288" w:lineRule="auto"/>
        <w:rPr>
          <w:rFonts w:ascii="Calibri" w:hAnsi="Calibri"/>
        </w:rPr>
      </w:pPr>
    </w:p>
    <w:p w14:paraId="3FD16B7F" w14:textId="77777777" w:rsidR="00EB6585" w:rsidRDefault="00EB6585" w:rsidP="006E043C">
      <w:pPr>
        <w:spacing w:after="0" w:line="288" w:lineRule="auto"/>
        <w:rPr>
          <w:rFonts w:ascii="Calibri" w:hAnsi="Calibri"/>
        </w:rPr>
      </w:pPr>
    </w:p>
    <w:p w14:paraId="6015C146" w14:textId="77777777" w:rsidR="00EB6585" w:rsidRDefault="00EB6585" w:rsidP="006E043C">
      <w:pPr>
        <w:spacing w:after="0" w:line="288" w:lineRule="auto"/>
        <w:rPr>
          <w:rFonts w:ascii="Calibri" w:hAnsi="Calibri"/>
        </w:rPr>
      </w:pPr>
    </w:p>
    <w:p w14:paraId="3DA487FA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6C014AB9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089C914C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797ECE46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10BC4014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20F3016E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258A9B59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51767C9F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4997D10E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09603B14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tbl>
      <w:tblPr>
        <w:tblpPr w:leftFromText="141" w:rightFromText="141" w:vertAnchor="text" w:horzAnchor="margin" w:tblpY="1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969"/>
        <w:gridCol w:w="2343"/>
        <w:gridCol w:w="2343"/>
        <w:gridCol w:w="2343"/>
      </w:tblGrid>
      <w:tr w:rsidR="0034239E" w:rsidRPr="00DD5C76" w14:paraId="2BBCDA24" w14:textId="77777777" w:rsidTr="001F30F5">
        <w:trPr>
          <w:trHeight w:val="680"/>
        </w:trPr>
        <w:tc>
          <w:tcPr>
            <w:tcW w:w="846" w:type="pct"/>
            <w:vAlign w:val="center"/>
          </w:tcPr>
          <w:p w14:paraId="4B312EBB" w14:textId="0161D844" w:rsidR="0034239E" w:rsidRPr="00DD5C76" w:rsidRDefault="0034239E" w:rsidP="001F30F5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052B90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/</w:t>
            </w:r>
            <w:r w:rsidR="00F548A8">
              <w:rPr>
                <w:rFonts w:ascii="Calibri" w:hAnsi="Calibri"/>
              </w:rPr>
              <w:t>11</w:t>
            </w:r>
            <w:r>
              <w:rPr>
                <w:rFonts w:ascii="Calibri" w:hAnsi="Calibri"/>
              </w:rPr>
              <w:t>/2</w:t>
            </w:r>
            <w:r w:rsidR="000A4F86">
              <w:rPr>
                <w:rFonts w:ascii="Calibri" w:hAnsi="Calibri"/>
              </w:rPr>
              <w:t>3</w:t>
            </w:r>
          </w:p>
        </w:tc>
        <w:tc>
          <w:tcPr>
            <w:tcW w:w="503" w:type="pct"/>
            <w:vAlign w:val="center"/>
          </w:tcPr>
          <w:p w14:paraId="38DA9D0B" w14:textId="77777777" w:rsidR="0034239E" w:rsidRPr="00DD5C76" w:rsidRDefault="0034239E" w:rsidP="001F30F5">
            <w:pPr>
              <w:spacing w:after="0" w:line="288" w:lineRule="auto"/>
              <w:rPr>
                <w:rFonts w:ascii="Calibri" w:hAnsi="Calibri"/>
              </w:rPr>
            </w:pPr>
            <w:r w:rsidRPr="00DD5C76">
              <w:rPr>
                <w:rFonts w:ascii="Calibri" w:hAnsi="Calibri"/>
              </w:rPr>
              <w:t>0</w:t>
            </w:r>
          </w:p>
        </w:tc>
        <w:tc>
          <w:tcPr>
            <w:tcW w:w="1217" w:type="pct"/>
            <w:vAlign w:val="center"/>
          </w:tcPr>
          <w:p w14:paraId="35C7720F" w14:textId="77777777" w:rsidR="0034239E" w:rsidRPr="00DD5C76" w:rsidRDefault="0034239E" w:rsidP="001F30F5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R. D’Elia</w:t>
            </w:r>
          </w:p>
        </w:tc>
        <w:tc>
          <w:tcPr>
            <w:tcW w:w="1217" w:type="pct"/>
            <w:vAlign w:val="center"/>
          </w:tcPr>
          <w:p w14:paraId="3F6F72BB" w14:textId="2B989654" w:rsidR="0034239E" w:rsidRPr="00DD5C76" w:rsidRDefault="00F548A8" w:rsidP="001F30F5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G. </w:t>
            </w:r>
            <w:proofErr w:type="spellStart"/>
            <w:r>
              <w:rPr>
                <w:rFonts w:ascii="Calibri" w:hAnsi="Calibri"/>
              </w:rPr>
              <w:t>Bortesi</w:t>
            </w:r>
            <w:proofErr w:type="spellEnd"/>
          </w:p>
        </w:tc>
        <w:tc>
          <w:tcPr>
            <w:tcW w:w="1217" w:type="pct"/>
            <w:vAlign w:val="center"/>
          </w:tcPr>
          <w:p w14:paraId="31913C23" w14:textId="77777777" w:rsidR="0034239E" w:rsidRPr="00DD5C76" w:rsidRDefault="0034239E" w:rsidP="001F30F5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G. </w:t>
            </w:r>
            <w:proofErr w:type="spellStart"/>
            <w:r>
              <w:rPr>
                <w:rFonts w:ascii="Calibri" w:hAnsi="Calibri"/>
              </w:rPr>
              <w:t>Bortesi</w:t>
            </w:r>
            <w:proofErr w:type="spellEnd"/>
          </w:p>
        </w:tc>
      </w:tr>
      <w:tr w:rsidR="0034239E" w:rsidRPr="00DD5C76" w14:paraId="7C7A7BA5" w14:textId="77777777" w:rsidTr="001F30F5">
        <w:tc>
          <w:tcPr>
            <w:tcW w:w="846" w:type="pct"/>
            <w:vAlign w:val="center"/>
          </w:tcPr>
          <w:p w14:paraId="07095F3D" w14:textId="77777777" w:rsidR="0034239E" w:rsidRPr="00DD5C76" w:rsidRDefault="0034239E" w:rsidP="001F30F5">
            <w:pPr>
              <w:spacing w:after="0" w:line="288" w:lineRule="auto"/>
              <w:rPr>
                <w:rFonts w:ascii="Calibri" w:hAnsi="Calibri"/>
                <w:b/>
              </w:rPr>
            </w:pPr>
            <w:r w:rsidRPr="00DD5C76">
              <w:rPr>
                <w:rFonts w:ascii="Calibri" w:hAnsi="Calibri"/>
                <w:b/>
              </w:rPr>
              <w:t>Data</w:t>
            </w:r>
          </w:p>
        </w:tc>
        <w:tc>
          <w:tcPr>
            <w:tcW w:w="503" w:type="pct"/>
            <w:vAlign w:val="center"/>
          </w:tcPr>
          <w:p w14:paraId="0D975791" w14:textId="77777777" w:rsidR="0034239E" w:rsidRPr="00DD5C76" w:rsidRDefault="0034239E" w:rsidP="001F30F5">
            <w:pPr>
              <w:spacing w:after="0" w:line="288" w:lineRule="auto"/>
              <w:rPr>
                <w:rFonts w:ascii="Calibri" w:hAnsi="Calibri"/>
                <w:b/>
              </w:rPr>
            </w:pPr>
            <w:r w:rsidRPr="00DD5C76">
              <w:rPr>
                <w:rFonts w:ascii="Calibri" w:hAnsi="Calibri"/>
                <w:b/>
              </w:rPr>
              <w:t>Rev.</w:t>
            </w:r>
          </w:p>
        </w:tc>
        <w:tc>
          <w:tcPr>
            <w:tcW w:w="1217" w:type="pct"/>
            <w:vAlign w:val="center"/>
          </w:tcPr>
          <w:p w14:paraId="02071631" w14:textId="77777777" w:rsidR="0034239E" w:rsidRPr="00DD5C76" w:rsidRDefault="0034239E" w:rsidP="001F30F5">
            <w:pPr>
              <w:spacing w:after="0" w:line="288" w:lineRule="auto"/>
              <w:rPr>
                <w:rFonts w:ascii="Calibri" w:hAnsi="Calibri"/>
                <w:b/>
              </w:rPr>
            </w:pPr>
            <w:r w:rsidRPr="00DD5C76">
              <w:rPr>
                <w:rFonts w:ascii="Calibri" w:hAnsi="Calibri"/>
                <w:b/>
              </w:rPr>
              <w:t>Elaborata</w:t>
            </w:r>
          </w:p>
        </w:tc>
        <w:tc>
          <w:tcPr>
            <w:tcW w:w="1217" w:type="pct"/>
            <w:vAlign w:val="center"/>
          </w:tcPr>
          <w:p w14:paraId="64EB1856" w14:textId="77777777" w:rsidR="0034239E" w:rsidRPr="00DD5C76" w:rsidRDefault="0034239E" w:rsidP="001F30F5">
            <w:pPr>
              <w:spacing w:after="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Verificata</w:t>
            </w:r>
          </w:p>
        </w:tc>
        <w:tc>
          <w:tcPr>
            <w:tcW w:w="1217" w:type="pct"/>
            <w:vAlign w:val="center"/>
          </w:tcPr>
          <w:p w14:paraId="2A118079" w14:textId="77777777" w:rsidR="0034239E" w:rsidRPr="00DD5C76" w:rsidRDefault="0034239E" w:rsidP="001F30F5">
            <w:pPr>
              <w:spacing w:after="0" w:line="288" w:lineRule="auto"/>
              <w:rPr>
                <w:rFonts w:ascii="Calibri" w:hAnsi="Calibri"/>
                <w:b/>
              </w:rPr>
            </w:pPr>
            <w:r w:rsidRPr="00DD5C76">
              <w:rPr>
                <w:rFonts w:ascii="Calibri" w:hAnsi="Calibri"/>
                <w:b/>
              </w:rPr>
              <w:t>Emessa</w:t>
            </w:r>
          </w:p>
        </w:tc>
      </w:tr>
    </w:tbl>
    <w:p w14:paraId="4BC71DFF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30D68E2A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3218A286" w14:textId="77777777" w:rsidR="00DD5C76" w:rsidRDefault="00DD5C76" w:rsidP="006E043C">
      <w:pPr>
        <w:spacing w:after="0" w:line="288" w:lineRule="auto"/>
        <w:rPr>
          <w:rFonts w:ascii="Calibri" w:hAnsi="Calibri"/>
        </w:rPr>
      </w:pPr>
    </w:p>
    <w:p w14:paraId="210E293A" w14:textId="77777777" w:rsidR="00EB6585" w:rsidRPr="006E043C" w:rsidRDefault="00EB6585" w:rsidP="00DD5C76">
      <w:pPr>
        <w:spacing w:after="0" w:line="288" w:lineRule="auto"/>
        <w:rPr>
          <w:rFonts w:ascii="Calibri" w:hAnsi="Calibri"/>
        </w:rPr>
      </w:pPr>
    </w:p>
    <w:p w14:paraId="4D6C8B2D" w14:textId="6F42A48B" w:rsidR="0034239E" w:rsidRDefault="0034239E" w:rsidP="0034239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34239E">
        <w:rPr>
          <w:rFonts w:ascii="CIDFont+F2" w:hAnsi="CIDFont+F2" w:cs="CIDFont+F2"/>
          <w:b/>
        </w:rPr>
        <w:lastRenderedPageBreak/>
        <w:t>Scopo del lavoro</w:t>
      </w:r>
    </w:p>
    <w:p w14:paraId="1E82408E" w14:textId="05F33DB0" w:rsidR="00EF10A4" w:rsidRDefault="00EF10A4" w:rsidP="0034239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</w:p>
    <w:p w14:paraId="11AAF026" w14:textId="70AB1985" w:rsidR="0034239E" w:rsidRPr="00AE4E00" w:rsidRDefault="00AE4E00" w:rsidP="0034239E">
      <w:pPr>
        <w:rPr>
          <w:rFonts w:ascii="CIDFont+F1" w:hAnsi="CIDFont+F1" w:cs="CIDFont+F1"/>
          <w:b/>
          <w:bCs/>
          <w:u w:val="single"/>
        </w:rPr>
      </w:pPr>
      <w:r w:rsidRPr="00AE4E00">
        <w:rPr>
          <w:rFonts w:ascii="CIDFont+F1" w:hAnsi="CIDFont+F1" w:cs="CIDFont+F1"/>
          <w:b/>
          <w:bCs/>
          <w:u w:val="single"/>
        </w:rPr>
        <w:t>Allineamento</w:t>
      </w:r>
      <w:r w:rsidR="00F548A8">
        <w:rPr>
          <w:rFonts w:ascii="CIDFont+F1" w:hAnsi="CIDFont+F1" w:cs="CIDFont+F1"/>
          <w:b/>
          <w:bCs/>
          <w:u w:val="single"/>
        </w:rPr>
        <w:t xml:space="preserve"> e</w:t>
      </w:r>
      <w:r w:rsidRPr="00AE4E00">
        <w:rPr>
          <w:rFonts w:ascii="CIDFont+F1" w:hAnsi="CIDFont+F1" w:cs="CIDFont+F1"/>
          <w:b/>
          <w:bCs/>
          <w:u w:val="single"/>
        </w:rPr>
        <w:t xml:space="preserve"> bilanciatura ventilatori </w:t>
      </w:r>
      <w:r w:rsidR="00052B90">
        <w:rPr>
          <w:rFonts w:ascii="CIDFont+F1" w:hAnsi="CIDFont+F1" w:cs="CIDFont+F1"/>
          <w:b/>
          <w:bCs/>
          <w:u w:val="single"/>
        </w:rPr>
        <w:t xml:space="preserve">– rotori </w:t>
      </w:r>
      <w:r w:rsidRPr="00AE4E00">
        <w:rPr>
          <w:rFonts w:ascii="CIDFont+F1" w:hAnsi="CIDFont+F1" w:cs="CIDFont+F1"/>
          <w:b/>
          <w:bCs/>
          <w:u w:val="single"/>
        </w:rPr>
        <w:t>mulini</w:t>
      </w:r>
      <w:r w:rsidR="00052B90">
        <w:rPr>
          <w:rFonts w:ascii="CIDFont+F1" w:hAnsi="CIDFont+F1" w:cs="CIDFont+F1"/>
          <w:b/>
          <w:bCs/>
          <w:u w:val="single"/>
        </w:rPr>
        <w:t xml:space="preserve"> – giranti raffinatori</w:t>
      </w:r>
    </w:p>
    <w:p w14:paraId="76A7D199" w14:textId="24B0C50C" w:rsidR="00A362E8" w:rsidRDefault="00AE4E00" w:rsidP="0034239E">
      <w:pPr>
        <w:rPr>
          <w:rFonts w:ascii="CIDFont+F1" w:hAnsi="CIDFont+F1" w:cs="CIDFont+F1"/>
        </w:rPr>
      </w:pPr>
      <w:r w:rsidRPr="00AE4E00">
        <w:rPr>
          <w:rFonts w:ascii="CIDFont+F1" w:hAnsi="CIDFont+F1" w:cs="CIDFont+F1"/>
        </w:rPr>
        <w:t xml:space="preserve">Si tratta di </w:t>
      </w:r>
      <w:r w:rsidR="00622584">
        <w:rPr>
          <w:rFonts w:ascii="CIDFont+F1" w:hAnsi="CIDFont+F1" w:cs="CIDFont+F1"/>
        </w:rPr>
        <w:t>appaltare ad un unico Fornitore</w:t>
      </w:r>
      <w:r w:rsidR="00A362E8">
        <w:rPr>
          <w:rFonts w:ascii="CIDFont+F1" w:hAnsi="CIDFont+F1" w:cs="CIDFont+F1"/>
        </w:rPr>
        <w:t>,</w:t>
      </w:r>
      <w:r w:rsidR="00622584">
        <w:rPr>
          <w:rFonts w:ascii="CIDFont+F1" w:hAnsi="CIDFont+F1" w:cs="CIDFont+F1"/>
        </w:rPr>
        <w:t xml:space="preserve"> l’attività di bilanciatura</w:t>
      </w:r>
      <w:r w:rsidR="00A362E8">
        <w:rPr>
          <w:rFonts w:ascii="CIDFont+F1" w:hAnsi="CIDFont+F1" w:cs="CIDFont+F1"/>
        </w:rPr>
        <w:t xml:space="preserve"> </w:t>
      </w:r>
      <w:r w:rsidR="00622584">
        <w:rPr>
          <w:rFonts w:ascii="CIDFont+F1" w:hAnsi="CIDFont+F1" w:cs="CIDFont+F1"/>
        </w:rPr>
        <w:t>ventilatori, rotori mulini</w:t>
      </w:r>
      <w:r w:rsidR="00A362E8">
        <w:rPr>
          <w:rFonts w:ascii="CIDFont+F1" w:hAnsi="CIDFont+F1" w:cs="CIDFont+F1"/>
        </w:rPr>
        <w:t xml:space="preserve">, giranti raffinatori e macchine rotanti in generale che potrebbero a causa di sporco o usura avere la necessità di una bilanciatura statica e dinamica in opera e richiedere anche l’allineamento degli alberi di trasmissione che con le vibrazioni ricevute non sono più perfettamente allineati. </w:t>
      </w:r>
    </w:p>
    <w:p w14:paraId="560875E2" w14:textId="58F63531" w:rsidR="00AE4E00" w:rsidRDefault="0031588F" w:rsidP="0034239E">
      <w:pPr>
        <w:rPr>
          <w:rFonts w:ascii="CIDFont+F1" w:hAnsi="CIDFont+F1" w:cs="CIDFont+F1"/>
        </w:rPr>
      </w:pPr>
      <w:r>
        <w:rPr>
          <w:rFonts w:ascii="CIDFont+F1" w:hAnsi="CIDFont+F1" w:cs="CIDFont+F1"/>
        </w:rPr>
        <w:t>I</w:t>
      </w:r>
      <w:r w:rsidR="00F548A8">
        <w:rPr>
          <w:rFonts w:ascii="CIDFont+F1" w:hAnsi="CIDFont+F1" w:cs="CIDFont+F1"/>
        </w:rPr>
        <w:t>l</w:t>
      </w:r>
      <w:r w:rsidR="00AE4E00">
        <w:rPr>
          <w:rFonts w:ascii="CIDFont+F1" w:hAnsi="CIDFont+F1" w:cs="CIDFont+F1"/>
        </w:rPr>
        <w:t xml:space="preserve"> fornitore </w:t>
      </w:r>
      <w:r w:rsidR="00A362E8">
        <w:rPr>
          <w:rFonts w:ascii="CIDFont+F1" w:hAnsi="CIDFont+F1" w:cs="CIDFont+F1"/>
        </w:rPr>
        <w:t xml:space="preserve">dovrà </w:t>
      </w:r>
      <w:r w:rsidR="00AE4E00">
        <w:rPr>
          <w:rFonts w:ascii="CIDFont+F1" w:hAnsi="CIDFont+F1" w:cs="CIDFont+F1"/>
        </w:rPr>
        <w:t xml:space="preserve">eseguire </w:t>
      </w:r>
      <w:r>
        <w:rPr>
          <w:rFonts w:ascii="CIDFont+F1" w:hAnsi="CIDFont+F1" w:cs="CIDFont+F1"/>
        </w:rPr>
        <w:t>l’</w:t>
      </w:r>
      <w:r w:rsidR="00AE4E00">
        <w:rPr>
          <w:rFonts w:ascii="CIDFont+F1" w:hAnsi="CIDFont+F1" w:cs="CIDFont+F1"/>
        </w:rPr>
        <w:t xml:space="preserve">attività con strumenti di precisione </w:t>
      </w:r>
      <w:r w:rsidR="00EC788C">
        <w:rPr>
          <w:rFonts w:ascii="CIDFont+F1" w:hAnsi="CIDFont+F1" w:cs="CIDFont+F1"/>
        </w:rPr>
        <w:t xml:space="preserve">per </w:t>
      </w:r>
      <w:r w:rsidR="00A362E8">
        <w:rPr>
          <w:rFonts w:ascii="CIDFont+F1" w:hAnsi="CIDFont+F1" w:cs="CIDFont+F1"/>
        </w:rPr>
        <w:t xml:space="preserve">riportare la macchina </w:t>
      </w:r>
      <w:r w:rsidR="00156EB3">
        <w:rPr>
          <w:rFonts w:ascii="CIDFont+F1" w:hAnsi="CIDFont+F1" w:cs="CIDFont+F1"/>
        </w:rPr>
        <w:t>a valori ottimali</w:t>
      </w:r>
      <w:r w:rsidR="00AE4E00">
        <w:rPr>
          <w:rFonts w:ascii="CIDFont+F1" w:hAnsi="CIDFont+F1" w:cs="CIDFont+F1"/>
        </w:rPr>
        <w:t>.</w:t>
      </w:r>
      <w:r w:rsidR="00F548A8">
        <w:rPr>
          <w:rFonts w:ascii="CIDFont+F1" w:hAnsi="CIDFont+F1" w:cs="CIDFont+F1"/>
        </w:rPr>
        <w:t xml:space="preserve">     </w:t>
      </w:r>
    </w:p>
    <w:p w14:paraId="63F4A089" w14:textId="32E0E044" w:rsidR="00EC788C" w:rsidRPr="00EC788C" w:rsidRDefault="00EC788C" w:rsidP="0034239E">
      <w:pPr>
        <w:rPr>
          <w:rFonts w:ascii="CIDFont+F1" w:hAnsi="CIDFont+F1" w:cs="CIDFont+F1"/>
          <w:u w:val="single"/>
        </w:rPr>
      </w:pPr>
      <w:r w:rsidRPr="00EC788C">
        <w:rPr>
          <w:rFonts w:ascii="CIDFont+F1" w:hAnsi="CIDFont+F1" w:cs="CIDFont+F1"/>
          <w:u w:val="single"/>
        </w:rPr>
        <w:t>Interventi da concordare con il Tecnico di Riferimento</w:t>
      </w:r>
    </w:p>
    <w:p w14:paraId="0A830296" w14:textId="77777777" w:rsidR="00467CC3" w:rsidRDefault="00467CC3" w:rsidP="0034239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</w:p>
    <w:p w14:paraId="16D5DB33" w14:textId="7F8E2088" w:rsidR="0034239E" w:rsidRPr="00D209DA" w:rsidRDefault="0034239E" w:rsidP="0034239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D209DA">
        <w:rPr>
          <w:rFonts w:ascii="CIDFont+F2" w:hAnsi="CIDFont+F2" w:cs="CIDFont+F2"/>
          <w:b/>
        </w:rPr>
        <w:t>Oneri del fornitore</w:t>
      </w:r>
    </w:p>
    <w:p w14:paraId="254700DB" w14:textId="311784A8" w:rsidR="0034239E" w:rsidRDefault="0034239E" w:rsidP="0034239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1. Strumenti certificati </w:t>
      </w:r>
      <w:r w:rsidR="00DA1F4E">
        <w:rPr>
          <w:rFonts w:ascii="CIDFont+F1" w:hAnsi="CIDFont+F1" w:cs="CIDFont+F1"/>
        </w:rPr>
        <w:t xml:space="preserve">per la bilanciatura </w:t>
      </w:r>
      <w:r w:rsidR="00156EB3">
        <w:rPr>
          <w:rFonts w:ascii="CIDFont+F1" w:hAnsi="CIDFont+F1" w:cs="CIDFont+F1"/>
        </w:rPr>
        <w:t>e</w:t>
      </w:r>
      <w:r w:rsidR="00DA1F4E">
        <w:rPr>
          <w:rFonts w:ascii="CIDFont+F1" w:hAnsi="CIDFont+F1" w:cs="CIDFont+F1"/>
        </w:rPr>
        <w:t xml:space="preserve"> allineamento</w:t>
      </w:r>
      <w:r w:rsidR="00D209DA">
        <w:rPr>
          <w:rFonts w:ascii="CIDFont+F1" w:hAnsi="CIDFont+F1" w:cs="CIDFont+F1"/>
        </w:rPr>
        <w:t>;</w:t>
      </w:r>
    </w:p>
    <w:p w14:paraId="2FF8966B" w14:textId="6CF11158" w:rsidR="0034239E" w:rsidRDefault="0034239E" w:rsidP="0034239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DPI</w:t>
      </w:r>
      <w:r w:rsidR="00D209DA">
        <w:rPr>
          <w:rFonts w:ascii="CIDFont+F1" w:hAnsi="CIDFont+F1" w:cs="CIDFont+F1"/>
        </w:rPr>
        <w:t>;</w:t>
      </w:r>
    </w:p>
    <w:p w14:paraId="6EAF5DEF" w14:textId="4D6F9156" w:rsidR="0034239E" w:rsidRDefault="0034239E" w:rsidP="0034239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Relazione Tecnica dell’analisi</w:t>
      </w:r>
      <w:r w:rsidR="00156EB3">
        <w:rPr>
          <w:rFonts w:ascii="CIDFont+F1" w:hAnsi="CIDFont+F1" w:cs="CIDFont+F1"/>
        </w:rPr>
        <w:t xml:space="preserve"> delle</w:t>
      </w:r>
      <w:r w:rsidR="00EF10A4">
        <w:rPr>
          <w:rFonts w:ascii="CIDFont+F1" w:hAnsi="CIDFont+F1" w:cs="CIDFont+F1"/>
        </w:rPr>
        <w:t xml:space="preserve"> </w:t>
      </w:r>
      <w:r w:rsidR="004D42A6">
        <w:rPr>
          <w:rFonts w:ascii="CIDFont+F1" w:hAnsi="CIDFont+F1" w:cs="CIDFont+F1"/>
        </w:rPr>
        <w:t>V</w:t>
      </w:r>
      <w:r w:rsidR="00EF10A4">
        <w:rPr>
          <w:rFonts w:ascii="CIDFont+F1" w:hAnsi="CIDFont+F1" w:cs="CIDFont+F1"/>
        </w:rPr>
        <w:t>ibrazioni</w:t>
      </w:r>
      <w:r w:rsidR="00156EB3">
        <w:rPr>
          <w:rFonts w:ascii="CIDFont+F1" w:hAnsi="CIDFont+F1" w:cs="CIDFont+F1"/>
        </w:rPr>
        <w:t xml:space="preserve"> e della </w:t>
      </w:r>
      <w:r w:rsidR="00AE4E00">
        <w:rPr>
          <w:rFonts w:ascii="CIDFont+F1" w:hAnsi="CIDFont+F1" w:cs="CIDFont+F1"/>
        </w:rPr>
        <w:t>bilanciatur</w:t>
      </w:r>
      <w:r w:rsidR="00156EB3">
        <w:rPr>
          <w:rFonts w:ascii="CIDFont+F1" w:hAnsi="CIDFont+F1" w:cs="CIDFont+F1"/>
        </w:rPr>
        <w:t>a</w:t>
      </w:r>
      <w:r w:rsidR="00AE4E00">
        <w:rPr>
          <w:rFonts w:ascii="CIDFont+F1" w:hAnsi="CIDFont+F1" w:cs="CIDFont+F1"/>
        </w:rPr>
        <w:t xml:space="preserve"> </w:t>
      </w:r>
      <w:r w:rsidR="00EF10A4">
        <w:rPr>
          <w:rFonts w:ascii="CIDFont+F1" w:hAnsi="CIDFont+F1" w:cs="CIDFont+F1"/>
        </w:rPr>
        <w:t>legat</w:t>
      </w:r>
      <w:r w:rsidR="00156EB3">
        <w:rPr>
          <w:rFonts w:ascii="CIDFont+F1" w:hAnsi="CIDFont+F1" w:cs="CIDFont+F1"/>
        </w:rPr>
        <w:t>a</w:t>
      </w:r>
      <w:r w:rsidR="00EF10A4">
        <w:rPr>
          <w:rFonts w:ascii="CIDFont+F1" w:hAnsi="CIDFont+F1" w:cs="CIDFont+F1"/>
        </w:rPr>
        <w:t xml:space="preserve"> ad ogni utenza</w:t>
      </w:r>
      <w:r w:rsidR="00D209DA">
        <w:rPr>
          <w:rFonts w:ascii="CIDFont+F1" w:hAnsi="CIDFont+F1" w:cs="CIDFont+F1"/>
        </w:rPr>
        <w:t>;</w:t>
      </w:r>
    </w:p>
    <w:p w14:paraId="58B39C93" w14:textId="396781C6" w:rsidR="0034239E" w:rsidRDefault="0034239E" w:rsidP="0034239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4. Elenco delle posizioni </w:t>
      </w:r>
      <w:r w:rsidR="004D42A6">
        <w:rPr>
          <w:rFonts w:ascii="CIDFont+F1" w:hAnsi="CIDFont+F1" w:cs="CIDFont+F1"/>
        </w:rPr>
        <w:t xml:space="preserve">e relazioni tecniche </w:t>
      </w:r>
      <w:r>
        <w:rPr>
          <w:rFonts w:ascii="CIDFont+F1" w:hAnsi="CIDFont+F1" w:cs="CIDFont+F1"/>
        </w:rPr>
        <w:t>dopo ogni intervento</w:t>
      </w:r>
      <w:r w:rsidR="00D209DA">
        <w:rPr>
          <w:rFonts w:ascii="CIDFont+F1" w:hAnsi="CIDFont+F1" w:cs="CIDFont+F1"/>
        </w:rPr>
        <w:t>;</w:t>
      </w:r>
    </w:p>
    <w:p w14:paraId="7CB66BAB" w14:textId="50295780" w:rsidR="0034239E" w:rsidRDefault="0034239E" w:rsidP="0034239E">
      <w:pPr>
        <w:rPr>
          <w:rFonts w:ascii="CIDFont+F1" w:hAnsi="CIDFont+F1" w:cs="CIDFont+F1"/>
        </w:rPr>
      </w:pPr>
      <w:r>
        <w:rPr>
          <w:rFonts w:ascii="CIDFont+F1" w:hAnsi="CIDFont+F1" w:cs="CIDFont+F1"/>
        </w:rPr>
        <w:t>5. Invio d</w:t>
      </w:r>
      <w:r w:rsidR="00467CC3">
        <w:rPr>
          <w:rFonts w:ascii="CIDFont+F1" w:hAnsi="CIDFont+F1" w:cs="CIDFont+F1"/>
        </w:rPr>
        <w:t>el Report</w:t>
      </w:r>
      <w:r>
        <w:rPr>
          <w:rFonts w:ascii="CIDFont+F1" w:hAnsi="CIDFont+F1" w:cs="CIDFont+F1"/>
        </w:rPr>
        <w:t xml:space="preserve"> in via informatica a</w:t>
      </w:r>
      <w:r w:rsidR="004D42A6">
        <w:rPr>
          <w:rFonts w:ascii="CIDFont+F1" w:hAnsi="CIDFont+F1" w:cs="CIDFont+F1"/>
        </w:rPr>
        <w:t>i Tecnici</w:t>
      </w:r>
      <w:r>
        <w:rPr>
          <w:rFonts w:ascii="CIDFont+F1" w:hAnsi="CIDFont+F1" w:cs="CIDFont+F1"/>
        </w:rPr>
        <w:t xml:space="preserve"> di </w:t>
      </w:r>
      <w:r w:rsidR="004D42A6">
        <w:rPr>
          <w:rFonts w:ascii="CIDFont+F1" w:hAnsi="CIDFont+F1" w:cs="CIDFont+F1"/>
        </w:rPr>
        <w:t>R</w:t>
      </w:r>
      <w:r>
        <w:rPr>
          <w:rFonts w:ascii="CIDFont+F1" w:hAnsi="CIDFont+F1" w:cs="CIDFont+F1"/>
        </w:rPr>
        <w:t>iferimento</w:t>
      </w:r>
      <w:r w:rsidR="00D209DA">
        <w:rPr>
          <w:rFonts w:ascii="CIDFont+F1" w:hAnsi="CIDFont+F1" w:cs="CIDFont+F1"/>
        </w:rPr>
        <w:t>.</w:t>
      </w:r>
    </w:p>
    <w:p w14:paraId="27D85CF0" w14:textId="77777777" w:rsidR="00467CC3" w:rsidRDefault="00467CC3" w:rsidP="0034239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</w:p>
    <w:p w14:paraId="2DFF3D70" w14:textId="5F06EDA9" w:rsidR="0034239E" w:rsidRPr="004D42A6" w:rsidRDefault="0034239E" w:rsidP="0034239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4D42A6">
        <w:rPr>
          <w:rFonts w:ascii="CIDFont+F2" w:hAnsi="CIDFont+F2" w:cs="CIDFont+F2"/>
          <w:b/>
        </w:rPr>
        <w:t>Indicazioni Generali</w:t>
      </w:r>
    </w:p>
    <w:p w14:paraId="03E047EA" w14:textId="28500217" w:rsidR="0034239E" w:rsidRDefault="00F548A8" w:rsidP="0034239E">
      <w:pPr>
        <w:rPr>
          <w:rFonts w:ascii="CIDFont+F1" w:hAnsi="CIDFont+F1" w:cs="CIDFont+F1"/>
        </w:rPr>
      </w:pPr>
      <w:r w:rsidRPr="00F548A8">
        <w:rPr>
          <w:rFonts w:ascii="CIDFont+F1" w:hAnsi="CIDFont+F1" w:cs="CIDFont+F1"/>
        </w:rPr>
        <w:t>Gli interventi verranno richiesti dalla Manutenzione</w:t>
      </w:r>
      <w:r>
        <w:rPr>
          <w:rFonts w:ascii="CIDFont+F1" w:hAnsi="CIDFont+F1" w:cs="CIDFont+F1"/>
        </w:rPr>
        <w:t xml:space="preserve"> </w:t>
      </w:r>
      <w:r w:rsidR="00DA1F4E">
        <w:rPr>
          <w:rFonts w:ascii="CIDFont+F1" w:hAnsi="CIDFont+F1" w:cs="CIDFont+F1"/>
        </w:rPr>
        <w:t xml:space="preserve">in </w:t>
      </w:r>
      <w:r>
        <w:rPr>
          <w:rFonts w:ascii="CIDFont+F1" w:hAnsi="CIDFont+F1" w:cs="CIDFont+F1"/>
        </w:rPr>
        <w:t>casi di urgenza</w:t>
      </w:r>
      <w:r w:rsidR="00156EB3">
        <w:rPr>
          <w:rFonts w:ascii="CIDFont+F1" w:hAnsi="CIDFont+F1" w:cs="CIDFont+F1"/>
        </w:rPr>
        <w:t>,</w:t>
      </w:r>
      <w:r>
        <w:rPr>
          <w:rFonts w:ascii="CIDFont+F1" w:hAnsi="CIDFont+F1" w:cs="CIDFont+F1"/>
        </w:rPr>
        <w:t xml:space="preserve"> o </w:t>
      </w:r>
      <w:r w:rsidR="00DA1F4E">
        <w:rPr>
          <w:rFonts w:ascii="CIDFont+F1" w:hAnsi="CIDFont+F1" w:cs="CIDFont+F1"/>
        </w:rPr>
        <w:t xml:space="preserve">se </w:t>
      </w:r>
      <w:r>
        <w:rPr>
          <w:rFonts w:ascii="CIDFont+F1" w:hAnsi="CIDFont+F1" w:cs="CIDFont+F1"/>
        </w:rPr>
        <w:t>pianificati</w:t>
      </w:r>
      <w:r w:rsidR="00156EB3">
        <w:rPr>
          <w:rFonts w:ascii="CIDFont+F1" w:hAnsi="CIDFont+F1" w:cs="CIDFont+F1"/>
        </w:rPr>
        <w:t>,</w:t>
      </w:r>
      <w:r>
        <w:rPr>
          <w:rFonts w:ascii="CIDFont+F1" w:hAnsi="CIDFont+F1" w:cs="CIDFont+F1"/>
        </w:rPr>
        <w:t xml:space="preserve"> per risolvere problemi legati</w:t>
      </w:r>
      <w:r w:rsidR="00DA1F4E">
        <w:rPr>
          <w:rFonts w:ascii="CIDFont+F1" w:hAnsi="CIDFont+F1" w:cs="CIDFont+F1"/>
        </w:rPr>
        <w:t xml:space="preserve"> ad elevate condizioni di squilibrio improvviso di una macchina</w:t>
      </w:r>
      <w:r w:rsidR="00156EB3">
        <w:rPr>
          <w:rFonts w:ascii="CIDFont+F1" w:hAnsi="CIDFont+F1" w:cs="CIDFont+F1"/>
        </w:rPr>
        <w:t xml:space="preserve"> </w:t>
      </w:r>
      <w:r w:rsidR="00DA1F4E">
        <w:rPr>
          <w:rFonts w:ascii="CIDFont+F1" w:hAnsi="CIDFont+F1" w:cs="CIDFont+F1"/>
        </w:rPr>
        <w:t>(ventole-mulini</w:t>
      </w:r>
      <w:r w:rsidR="00467CC3">
        <w:rPr>
          <w:rFonts w:ascii="CIDFont+F1" w:hAnsi="CIDFont+F1" w:cs="CIDFont+F1"/>
        </w:rPr>
        <w:t>-giranti</w:t>
      </w:r>
      <w:r w:rsidR="00DA1F4E">
        <w:rPr>
          <w:rFonts w:ascii="CIDFont+F1" w:hAnsi="CIDFont+F1" w:cs="CIDFont+F1"/>
        </w:rPr>
        <w:t>) oppure in situazioni dove in fase di sostituzione o montaggio di nuovi componenti si necessita di un allineamento o bilanciatura prima dell’avvi</w:t>
      </w:r>
      <w:r w:rsidR="00156EB3">
        <w:rPr>
          <w:rFonts w:ascii="CIDFont+F1" w:hAnsi="CIDFont+F1" w:cs="CIDFont+F1"/>
        </w:rPr>
        <w:t>amento</w:t>
      </w:r>
      <w:r w:rsidR="00DA1F4E">
        <w:rPr>
          <w:rFonts w:ascii="CIDFont+F1" w:hAnsi="CIDFont+F1" w:cs="CIDFont+F1"/>
        </w:rPr>
        <w:t>.</w:t>
      </w:r>
    </w:p>
    <w:p w14:paraId="65C5BAA0" w14:textId="252CD7B3" w:rsidR="00DA1F4E" w:rsidRDefault="00DA1F4E" w:rsidP="0034239E">
      <w:pPr>
        <w:rPr>
          <w:rFonts w:ascii="CIDFont+F1" w:hAnsi="CIDFont+F1" w:cs="CIDFont+F1"/>
        </w:rPr>
      </w:pPr>
      <w:bookmarkStart w:id="0" w:name="_Hlk151388083"/>
      <w:r>
        <w:rPr>
          <w:rFonts w:ascii="CIDFont+F1" w:hAnsi="CIDFont+F1" w:cs="CIDFont+F1"/>
        </w:rPr>
        <w:t>Le urgenze dovranno essere gestite in tempi rapidi perché sono eventi che possono precludere la marcia dell’impianto, la produttività, la sicurezza.</w:t>
      </w:r>
    </w:p>
    <w:p w14:paraId="445BC70B" w14:textId="26F40C4A" w:rsidR="00052B90" w:rsidRDefault="00052B90" w:rsidP="0034239E">
      <w:pPr>
        <w:rPr>
          <w:rFonts w:ascii="CIDFont+F1" w:hAnsi="CIDFont+F1" w:cs="CIDFont+F1"/>
        </w:rPr>
      </w:pPr>
      <w:r>
        <w:rPr>
          <w:rFonts w:ascii="CIDFont+F1" w:hAnsi="CIDFont+F1" w:cs="CIDFont+F1"/>
        </w:rPr>
        <w:t>L</w:t>
      </w:r>
      <w:r w:rsidR="0031588F">
        <w:rPr>
          <w:rFonts w:ascii="CIDFont+F1" w:hAnsi="CIDFont+F1" w:cs="CIDFont+F1"/>
        </w:rPr>
        <w:t>’accettazione</w:t>
      </w:r>
      <w:r>
        <w:rPr>
          <w:rFonts w:ascii="CIDFont+F1" w:hAnsi="CIDFont+F1" w:cs="CIDFont+F1"/>
        </w:rPr>
        <w:t xml:space="preserve"> </w:t>
      </w:r>
      <w:r w:rsidR="0031588F">
        <w:rPr>
          <w:rFonts w:ascii="CIDFont+F1" w:hAnsi="CIDFont+F1" w:cs="CIDFont+F1"/>
        </w:rPr>
        <w:t>delle modalità su</w:t>
      </w:r>
      <w:r>
        <w:rPr>
          <w:rFonts w:ascii="CIDFont+F1" w:hAnsi="CIDFont+F1" w:cs="CIDFont+F1"/>
        </w:rPr>
        <w:t xml:space="preserve">i tempi d’intervento richiesti in questa Specifica Tecnica, vanno </w:t>
      </w:r>
      <w:r w:rsidR="0031588F">
        <w:rPr>
          <w:rFonts w:ascii="CIDFont+F1" w:hAnsi="CIDFont+F1" w:cs="CIDFont+F1"/>
        </w:rPr>
        <w:t>espos</w:t>
      </w:r>
      <w:r>
        <w:rPr>
          <w:rFonts w:ascii="CIDFont+F1" w:hAnsi="CIDFont+F1" w:cs="CIDFont+F1"/>
        </w:rPr>
        <w:t xml:space="preserve">ti in </w:t>
      </w:r>
      <w:r w:rsidR="0031588F">
        <w:rPr>
          <w:rFonts w:ascii="CIDFont+F1" w:hAnsi="CIDFont+F1" w:cs="CIDFont+F1"/>
        </w:rPr>
        <w:t>fase d’offerta e verranno allegati in fase d’ordine come accordi vincolanti.</w:t>
      </w:r>
    </w:p>
    <w:bookmarkEnd w:id="0"/>
    <w:p w14:paraId="629952DA" w14:textId="77777777" w:rsidR="00467CC3" w:rsidRDefault="00467CC3" w:rsidP="0034239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</w:p>
    <w:p w14:paraId="7949DB7F" w14:textId="32723649" w:rsidR="0034239E" w:rsidRPr="004D42A6" w:rsidRDefault="0034239E" w:rsidP="0034239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4D42A6">
        <w:rPr>
          <w:rFonts w:ascii="CIDFont+F2" w:hAnsi="CIDFont+F2" w:cs="CIDFont+F2"/>
          <w:b/>
        </w:rPr>
        <w:t>Oneri della committente</w:t>
      </w:r>
    </w:p>
    <w:p w14:paraId="2176A295" w14:textId="241DDFBE" w:rsidR="0034239E" w:rsidRPr="004D42A6" w:rsidRDefault="0034239E" w:rsidP="004D42A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4D42A6">
        <w:rPr>
          <w:rFonts w:ascii="CIDFont+F1" w:hAnsi="CIDFont+F1" w:cs="CIDFont+F1"/>
        </w:rPr>
        <w:t>Energia elettrica, aria compressa</w:t>
      </w:r>
      <w:r w:rsidR="004D42A6">
        <w:rPr>
          <w:rFonts w:ascii="CIDFont+F1" w:hAnsi="CIDFont+F1" w:cs="CIDFont+F1"/>
        </w:rPr>
        <w:t>;</w:t>
      </w:r>
    </w:p>
    <w:p w14:paraId="5F47E2F4" w14:textId="291D3366" w:rsidR="0034239E" w:rsidRPr="004D42A6" w:rsidRDefault="0034239E" w:rsidP="004D42A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4D42A6">
        <w:rPr>
          <w:rFonts w:ascii="CIDFont+F1" w:hAnsi="CIDFont+F1" w:cs="CIDFont+F1"/>
        </w:rPr>
        <w:t>Permessi di lavoro</w:t>
      </w:r>
      <w:r w:rsidR="004D42A6">
        <w:rPr>
          <w:rFonts w:ascii="CIDFont+F1" w:hAnsi="CIDFont+F1" w:cs="CIDFont+F1"/>
        </w:rPr>
        <w:t>;</w:t>
      </w:r>
    </w:p>
    <w:p w14:paraId="45547EC6" w14:textId="009DDAB1" w:rsidR="004D42A6" w:rsidRPr="004D42A6" w:rsidRDefault="0034239E" w:rsidP="004D42A6">
      <w:pPr>
        <w:pStyle w:val="Paragrafoelenco"/>
        <w:numPr>
          <w:ilvl w:val="0"/>
          <w:numId w:val="13"/>
        </w:numPr>
        <w:rPr>
          <w:rFonts w:ascii="CIDFont+F1" w:hAnsi="CIDFont+F1" w:cs="CIDFont+F1"/>
        </w:rPr>
      </w:pPr>
      <w:r w:rsidRPr="004D42A6">
        <w:rPr>
          <w:rFonts w:ascii="CIDFont+F1" w:hAnsi="CIDFont+F1" w:cs="CIDFont+F1"/>
        </w:rPr>
        <w:t>Messa in Sicurezza degli Impianti</w:t>
      </w:r>
      <w:r w:rsidR="004D42A6">
        <w:rPr>
          <w:rFonts w:ascii="CIDFont+F1" w:hAnsi="CIDFont+F1" w:cs="CIDFont+F1"/>
        </w:rPr>
        <w:t>;</w:t>
      </w:r>
    </w:p>
    <w:p w14:paraId="03F37DA4" w14:textId="47775E29" w:rsidR="004D42A6" w:rsidRDefault="004D42A6" w:rsidP="004D42A6">
      <w:pPr>
        <w:pStyle w:val="Paragrafoelenco"/>
        <w:numPr>
          <w:ilvl w:val="0"/>
          <w:numId w:val="13"/>
        </w:numPr>
        <w:rPr>
          <w:rFonts w:ascii="CIDFont+F1" w:hAnsi="CIDFont+F1" w:cs="CIDFont+F1"/>
        </w:rPr>
      </w:pPr>
      <w:r w:rsidRPr="004D42A6">
        <w:rPr>
          <w:rFonts w:ascii="CIDFont+F1" w:hAnsi="CIDFont+F1" w:cs="CIDFont+F1"/>
        </w:rPr>
        <w:t>Assistenza</w:t>
      </w:r>
      <w:r w:rsidR="002E3D3C">
        <w:rPr>
          <w:rFonts w:ascii="CIDFont+F1" w:hAnsi="CIDFont+F1" w:cs="CIDFont+F1"/>
        </w:rPr>
        <w:t xml:space="preserve"> Meccanica ed Elettrica.</w:t>
      </w:r>
    </w:p>
    <w:p w14:paraId="0A06B27E" w14:textId="77777777" w:rsidR="00467CC3" w:rsidRDefault="00467CC3" w:rsidP="004D42A6">
      <w:pPr>
        <w:rPr>
          <w:b/>
        </w:rPr>
      </w:pPr>
    </w:p>
    <w:p w14:paraId="21A43052" w14:textId="2F0C6836" w:rsidR="00156EB3" w:rsidRDefault="009A7693" w:rsidP="004D42A6">
      <w:pPr>
        <w:rPr>
          <w:b/>
        </w:rPr>
      </w:pPr>
      <w:bookmarkStart w:id="1" w:name="_GoBack"/>
      <w:bookmarkEnd w:id="1"/>
      <w:r w:rsidRPr="004D42A6">
        <w:rPr>
          <w:b/>
        </w:rPr>
        <w:t>Tempistiche di esecuzione del lavoro</w:t>
      </w:r>
      <w:r w:rsidR="00EC788C">
        <w:rPr>
          <w:b/>
        </w:rPr>
        <w:t xml:space="preserve"> per le attività di Manutenzione preventiva</w:t>
      </w:r>
    </w:p>
    <w:p w14:paraId="19631E06" w14:textId="24F1583E" w:rsidR="00156EB3" w:rsidRDefault="00156EB3" w:rsidP="004D42A6">
      <w:pPr>
        <w:rPr>
          <w:bCs/>
        </w:rPr>
      </w:pPr>
      <w:r w:rsidRPr="00156EB3">
        <w:rPr>
          <w:bCs/>
        </w:rPr>
        <w:t>Su chiamata del Reparto di Manutenzione</w:t>
      </w:r>
      <w:r>
        <w:rPr>
          <w:bCs/>
        </w:rPr>
        <w:t xml:space="preserve"> </w:t>
      </w:r>
      <w:r w:rsidR="00052B90">
        <w:rPr>
          <w:bCs/>
        </w:rPr>
        <w:t>per urgenze o attività di Manutenzione pianificate.</w:t>
      </w:r>
    </w:p>
    <w:p w14:paraId="58BDA397" w14:textId="77777777" w:rsidR="0031588F" w:rsidRDefault="0031588F" w:rsidP="0031588F">
      <w:pPr>
        <w:rPr>
          <w:rFonts w:ascii="CIDFont+F1" w:hAnsi="CIDFont+F1" w:cs="CIDFont+F1"/>
        </w:rPr>
      </w:pPr>
      <w:r>
        <w:rPr>
          <w:rFonts w:ascii="CIDFont+F1" w:hAnsi="CIDFont+F1" w:cs="CIDFont+F1"/>
        </w:rPr>
        <w:t>Il servizio si dovrà svolgere “su</w:t>
      </w:r>
      <w:r w:rsidRPr="00AE4E00">
        <w:rPr>
          <w:rFonts w:ascii="CIDFont+F1" w:hAnsi="CIDFont+F1" w:cs="CIDFont+F1"/>
        </w:rPr>
        <w:t xml:space="preserve"> chiamata</w:t>
      </w:r>
      <w:r>
        <w:rPr>
          <w:rFonts w:ascii="CIDFont+F1" w:hAnsi="CIDFont+F1" w:cs="CIDFont+F1"/>
        </w:rPr>
        <w:t>” per 10 interventi annuali a scalare, riportando gli interventi rimanenti all’anno successivo.</w:t>
      </w:r>
    </w:p>
    <w:p w14:paraId="5464593A" w14:textId="0C7A2268" w:rsidR="00052B90" w:rsidRPr="00156EB3" w:rsidRDefault="00052B90" w:rsidP="004D42A6">
      <w:pPr>
        <w:rPr>
          <w:bCs/>
        </w:rPr>
      </w:pPr>
      <w:r>
        <w:rPr>
          <w:bCs/>
        </w:rPr>
        <w:t>Per certo, si eseguono 3 interventi di allineamento e bilanciatura nei mesi di aprile-agosto-dicembre sul ventilatore essiccatoio.</w:t>
      </w:r>
    </w:p>
    <w:p w14:paraId="0D03665A" w14:textId="77777777" w:rsidR="0031588F" w:rsidRDefault="0031588F" w:rsidP="00D209DA">
      <w:pPr>
        <w:rPr>
          <w:b/>
        </w:rPr>
      </w:pPr>
    </w:p>
    <w:p w14:paraId="3F462278" w14:textId="77777777" w:rsidR="00DE5B6A" w:rsidRDefault="00DE5B6A" w:rsidP="00D209DA">
      <w:pPr>
        <w:rPr>
          <w:b/>
        </w:rPr>
      </w:pPr>
    </w:p>
    <w:p w14:paraId="5C98014E" w14:textId="77777777" w:rsidR="00DE5B6A" w:rsidRDefault="00DE5B6A" w:rsidP="00D209DA">
      <w:pPr>
        <w:rPr>
          <w:b/>
        </w:rPr>
      </w:pPr>
    </w:p>
    <w:p w14:paraId="61BA69BD" w14:textId="00A532BC" w:rsidR="0031588F" w:rsidRDefault="00D209DA" w:rsidP="00D209DA">
      <w:pPr>
        <w:rPr>
          <w:b/>
        </w:rPr>
      </w:pPr>
      <w:r w:rsidRPr="00BD74CD">
        <w:rPr>
          <w:b/>
        </w:rPr>
        <w:t>Riferimenti Committente</w:t>
      </w:r>
    </w:p>
    <w:p w14:paraId="4E6F4C36" w14:textId="642F243D" w:rsidR="00D209DA" w:rsidRPr="0031588F" w:rsidRDefault="00D209DA" w:rsidP="00D209DA">
      <w:pPr>
        <w:rPr>
          <w:b/>
        </w:rPr>
      </w:pPr>
      <w:r w:rsidRPr="00E87EA9">
        <w:t xml:space="preserve">Per visionare </w:t>
      </w:r>
      <w:r>
        <w:t xml:space="preserve">le </w:t>
      </w:r>
      <w:r w:rsidRPr="00E87EA9">
        <w:t>macchine</w:t>
      </w:r>
      <w:r>
        <w:t xml:space="preserve"> e gli Impianti</w:t>
      </w:r>
      <w:r w:rsidRPr="00E87EA9">
        <w:t xml:space="preserve"> il sopralluogo va concordato</w:t>
      </w:r>
      <w:r w:rsidR="00467CC3">
        <w:t>.</w:t>
      </w:r>
    </w:p>
    <w:p w14:paraId="1ECB92DA" w14:textId="77777777" w:rsidR="00D209DA" w:rsidRDefault="00D209DA" w:rsidP="00D209DA">
      <w:pPr>
        <w:spacing w:after="0" w:line="264" w:lineRule="auto"/>
      </w:pPr>
      <w:r>
        <w:t xml:space="preserve">Sopralluogo e operazioni: </w:t>
      </w:r>
    </w:p>
    <w:p w14:paraId="02CD89DE" w14:textId="77777777" w:rsidR="00D209DA" w:rsidRPr="002F6608" w:rsidRDefault="00D209DA" w:rsidP="00D209DA">
      <w:pPr>
        <w:pStyle w:val="Paragrafoelenco"/>
        <w:numPr>
          <w:ilvl w:val="0"/>
          <w:numId w:val="17"/>
        </w:numPr>
        <w:spacing w:after="0" w:line="264" w:lineRule="auto"/>
        <w:rPr>
          <w:b/>
          <w:bCs/>
        </w:rPr>
      </w:pPr>
      <w:r w:rsidRPr="002F6608">
        <w:rPr>
          <w:b/>
          <w:bCs/>
        </w:rPr>
        <w:t>D’Elia Riccardo      3346747903</w:t>
      </w:r>
    </w:p>
    <w:p w14:paraId="128A277E" w14:textId="6AB78E56" w:rsidR="00D209DA" w:rsidRPr="009A7693" w:rsidRDefault="00052B90" w:rsidP="0068281E">
      <w:r>
        <w:t>Il sopralluogo atto alla valutazione del lavoro dovrà essere effettuato entro il 15 dicembre con chiusura offerta entro il 28/12/2023</w:t>
      </w:r>
      <w:r w:rsidR="0031588F">
        <w:t>.</w:t>
      </w:r>
    </w:p>
    <w:p w14:paraId="62FAAD18" w14:textId="77777777" w:rsidR="000C5DA0" w:rsidRDefault="000C5DA0">
      <w:pPr>
        <w:rPr>
          <w:rFonts w:ascii="Calibri" w:hAnsi="Calibri"/>
          <w:b/>
          <w:sz w:val="24"/>
          <w:szCs w:val="24"/>
        </w:rPr>
        <w:sectPr w:rsidR="000C5DA0" w:rsidSect="000C5DA0">
          <w:headerReference w:type="default" r:id="rId10"/>
          <w:footerReference w:type="default" r:id="rId11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A44770B" w14:textId="77777777" w:rsidR="004A6637" w:rsidRDefault="004A6637" w:rsidP="00052B90">
      <w:pPr>
        <w:rPr>
          <w:rFonts w:ascii="Calibri" w:hAnsi="Calibri"/>
          <w:b/>
          <w:sz w:val="24"/>
          <w:szCs w:val="24"/>
        </w:rPr>
      </w:pPr>
    </w:p>
    <w:sectPr w:rsidR="004A6637" w:rsidSect="000C5DA0">
      <w:type w:val="oddPage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09AAB" w14:textId="77777777" w:rsidR="00F96C72" w:rsidRDefault="00F96C72" w:rsidP="00AC190E">
      <w:pPr>
        <w:spacing w:after="0" w:line="240" w:lineRule="auto"/>
      </w:pPr>
      <w:r>
        <w:separator/>
      </w:r>
    </w:p>
  </w:endnote>
  <w:endnote w:type="continuationSeparator" w:id="0">
    <w:p w14:paraId="2BFE6AC0" w14:textId="77777777" w:rsidR="00F96C72" w:rsidRDefault="00F96C72" w:rsidP="00AC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4EAA43526EAD48899357683568BAFB1E"/>
      </w:placeholder>
      <w:temporary/>
      <w:showingPlcHdr/>
      <w15:appearance w15:val="hidden"/>
    </w:sdtPr>
    <w:sdtEndPr/>
    <w:sdtContent>
      <w:p w14:paraId="4A85A30E" w14:textId="77777777" w:rsidR="00A76E49" w:rsidRDefault="00A76E49">
        <w:pPr>
          <w:pStyle w:val="Pidipagina"/>
        </w:pPr>
        <w:r>
          <w:t>[Digitare qui]</w:t>
        </w:r>
      </w:p>
    </w:sdtContent>
  </w:sdt>
  <w:p w14:paraId="598DA5A6" w14:textId="77777777" w:rsidR="00CB06A2" w:rsidRDefault="00CB06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9451A" w14:textId="77777777" w:rsidR="00F96C72" w:rsidRDefault="00F96C72" w:rsidP="00AC190E">
      <w:pPr>
        <w:spacing w:after="0" w:line="240" w:lineRule="auto"/>
      </w:pPr>
      <w:r>
        <w:separator/>
      </w:r>
    </w:p>
  </w:footnote>
  <w:footnote w:type="continuationSeparator" w:id="0">
    <w:p w14:paraId="3E49A301" w14:textId="77777777" w:rsidR="00F96C72" w:rsidRDefault="00F96C72" w:rsidP="00AC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C39DC" w14:textId="57773C32" w:rsidR="00A76E49" w:rsidRDefault="00EB6585">
    <w:pPr>
      <w:pStyle w:val="Intestazione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516BEC67" wp14:editId="34591212">
          <wp:simplePos x="0" y="0"/>
          <wp:positionH relativeFrom="margin">
            <wp:align>right</wp:align>
          </wp:positionH>
          <wp:positionV relativeFrom="paragraph">
            <wp:posOffset>-95638</wp:posOffset>
          </wp:positionV>
          <wp:extent cx="1362075" cy="346710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MS_SAVIOLA_N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81E">
      <w:t xml:space="preserve">Specifica Tecnica </w:t>
    </w:r>
    <w:r w:rsidR="0034239E">
      <w:t xml:space="preserve">LMOR </w:t>
    </w:r>
    <w:r w:rsidR="00F548A8">
      <w:t>213</w:t>
    </w:r>
    <w:r w:rsidR="0034239E">
      <w:t>-</w:t>
    </w:r>
    <w:r w:rsidR="00705FCC">
      <w:t>23</w:t>
    </w:r>
  </w:p>
  <w:p w14:paraId="6B4EFFB8" w14:textId="24AD199C" w:rsidR="00CB06A2" w:rsidRDefault="00CB06A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F41"/>
    <w:multiLevelType w:val="hybridMultilevel"/>
    <w:tmpl w:val="F4F4FCF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3041C6"/>
    <w:multiLevelType w:val="hybridMultilevel"/>
    <w:tmpl w:val="78B8B024"/>
    <w:lvl w:ilvl="0" w:tplc="DE3E7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78E"/>
    <w:multiLevelType w:val="hybridMultilevel"/>
    <w:tmpl w:val="2118E86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FAA3142">
      <w:start w:val="1"/>
      <w:numFmt w:val="decimal"/>
      <w:lvlText w:val="%2."/>
      <w:lvlJc w:val="left"/>
      <w:pPr>
        <w:ind w:left="1352" w:hanging="360"/>
      </w:pPr>
      <w:rPr>
        <w:rFonts w:asciiTheme="minorHAnsi" w:eastAsiaTheme="minorHAnsi" w:hAnsiTheme="minorHAnsi" w:cstheme="minorBidi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5D2E"/>
    <w:multiLevelType w:val="hybridMultilevel"/>
    <w:tmpl w:val="748E0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5A48"/>
    <w:multiLevelType w:val="hybridMultilevel"/>
    <w:tmpl w:val="9012A630"/>
    <w:lvl w:ilvl="0" w:tplc="DE3E7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7C1A"/>
    <w:multiLevelType w:val="hybridMultilevel"/>
    <w:tmpl w:val="0588A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75DD4"/>
    <w:multiLevelType w:val="hybridMultilevel"/>
    <w:tmpl w:val="6E3207B6"/>
    <w:lvl w:ilvl="0" w:tplc="34B2F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53AB"/>
    <w:multiLevelType w:val="hybridMultilevel"/>
    <w:tmpl w:val="2132F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07F9F"/>
    <w:multiLevelType w:val="hybridMultilevel"/>
    <w:tmpl w:val="3ACAE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45409"/>
    <w:multiLevelType w:val="hybridMultilevel"/>
    <w:tmpl w:val="4746C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DAA"/>
    <w:multiLevelType w:val="hybridMultilevel"/>
    <w:tmpl w:val="17E28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B6E1B"/>
    <w:multiLevelType w:val="hybridMultilevel"/>
    <w:tmpl w:val="BF360044"/>
    <w:lvl w:ilvl="0" w:tplc="34B2F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65CF9"/>
    <w:multiLevelType w:val="hybridMultilevel"/>
    <w:tmpl w:val="3D542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36018"/>
    <w:multiLevelType w:val="hybridMultilevel"/>
    <w:tmpl w:val="B40E2B66"/>
    <w:lvl w:ilvl="0" w:tplc="E3408CDE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83582"/>
    <w:multiLevelType w:val="hybridMultilevel"/>
    <w:tmpl w:val="A6CED6DC"/>
    <w:lvl w:ilvl="0" w:tplc="D0E69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133AF"/>
    <w:multiLevelType w:val="hybridMultilevel"/>
    <w:tmpl w:val="BA9C7F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B3125"/>
    <w:multiLevelType w:val="hybridMultilevel"/>
    <w:tmpl w:val="363C00C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5"/>
  </w:num>
  <w:num w:numId="9">
    <w:abstractNumId w:val="12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6"/>
  </w:num>
  <w:num w:numId="15">
    <w:abstractNumId w:val="9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FA"/>
    <w:rsid w:val="00025ED8"/>
    <w:rsid w:val="00033372"/>
    <w:rsid w:val="00052B90"/>
    <w:rsid w:val="00065424"/>
    <w:rsid w:val="000A4F86"/>
    <w:rsid w:val="000B47F6"/>
    <w:rsid w:val="000B559C"/>
    <w:rsid w:val="000C5DA0"/>
    <w:rsid w:val="000D03D4"/>
    <w:rsid w:val="001115A2"/>
    <w:rsid w:val="00126637"/>
    <w:rsid w:val="00156EB3"/>
    <w:rsid w:val="001B0B0C"/>
    <w:rsid w:val="001D637C"/>
    <w:rsid w:val="001E244F"/>
    <w:rsid w:val="001F65D2"/>
    <w:rsid w:val="0021673F"/>
    <w:rsid w:val="002359B4"/>
    <w:rsid w:val="0024079C"/>
    <w:rsid w:val="00270036"/>
    <w:rsid w:val="002953A1"/>
    <w:rsid w:val="00297F42"/>
    <w:rsid w:val="002B4DF9"/>
    <w:rsid w:val="002B7393"/>
    <w:rsid w:val="002C57B1"/>
    <w:rsid w:val="002C7CB0"/>
    <w:rsid w:val="002E3D3C"/>
    <w:rsid w:val="002E59D4"/>
    <w:rsid w:val="002F6608"/>
    <w:rsid w:val="002F7E88"/>
    <w:rsid w:val="0031588F"/>
    <w:rsid w:val="003169BD"/>
    <w:rsid w:val="00320D5B"/>
    <w:rsid w:val="003347EF"/>
    <w:rsid w:val="0033633C"/>
    <w:rsid w:val="0034239E"/>
    <w:rsid w:val="00371D90"/>
    <w:rsid w:val="00374967"/>
    <w:rsid w:val="003A17C2"/>
    <w:rsid w:val="003C224A"/>
    <w:rsid w:val="003D37AA"/>
    <w:rsid w:val="003D7FAB"/>
    <w:rsid w:val="003F63B4"/>
    <w:rsid w:val="00405B89"/>
    <w:rsid w:val="0040601E"/>
    <w:rsid w:val="00407E68"/>
    <w:rsid w:val="00413EDA"/>
    <w:rsid w:val="004151AE"/>
    <w:rsid w:val="00436868"/>
    <w:rsid w:val="00444DE6"/>
    <w:rsid w:val="0045780F"/>
    <w:rsid w:val="00467CC3"/>
    <w:rsid w:val="00474603"/>
    <w:rsid w:val="004917F3"/>
    <w:rsid w:val="004A6637"/>
    <w:rsid w:val="004C4368"/>
    <w:rsid w:val="004D42A6"/>
    <w:rsid w:val="004F4035"/>
    <w:rsid w:val="00506B5C"/>
    <w:rsid w:val="00525ED0"/>
    <w:rsid w:val="00535A20"/>
    <w:rsid w:val="005616D5"/>
    <w:rsid w:val="00583B1C"/>
    <w:rsid w:val="005A1D41"/>
    <w:rsid w:val="005E4084"/>
    <w:rsid w:val="005F68A6"/>
    <w:rsid w:val="00602BA4"/>
    <w:rsid w:val="0062063E"/>
    <w:rsid w:val="00622584"/>
    <w:rsid w:val="0068281E"/>
    <w:rsid w:val="006D04AE"/>
    <w:rsid w:val="006E043C"/>
    <w:rsid w:val="0070120B"/>
    <w:rsid w:val="0070362F"/>
    <w:rsid w:val="00705808"/>
    <w:rsid w:val="00705FCC"/>
    <w:rsid w:val="00725CFA"/>
    <w:rsid w:val="007823FB"/>
    <w:rsid w:val="007A7C96"/>
    <w:rsid w:val="007B09E7"/>
    <w:rsid w:val="007F06A3"/>
    <w:rsid w:val="007F441F"/>
    <w:rsid w:val="0085591B"/>
    <w:rsid w:val="008651A7"/>
    <w:rsid w:val="00873AC0"/>
    <w:rsid w:val="00883345"/>
    <w:rsid w:val="008878AA"/>
    <w:rsid w:val="008A4523"/>
    <w:rsid w:val="008C2BBE"/>
    <w:rsid w:val="008D3548"/>
    <w:rsid w:val="008F2F5A"/>
    <w:rsid w:val="0091443B"/>
    <w:rsid w:val="00945B97"/>
    <w:rsid w:val="00952EC6"/>
    <w:rsid w:val="009A3AD1"/>
    <w:rsid w:val="009A7693"/>
    <w:rsid w:val="009D2132"/>
    <w:rsid w:val="009E3DA2"/>
    <w:rsid w:val="009E4E87"/>
    <w:rsid w:val="00A30B40"/>
    <w:rsid w:val="00A34B12"/>
    <w:rsid w:val="00A362E8"/>
    <w:rsid w:val="00A76E49"/>
    <w:rsid w:val="00A841C5"/>
    <w:rsid w:val="00A9071E"/>
    <w:rsid w:val="00AC190E"/>
    <w:rsid w:val="00AD0086"/>
    <w:rsid w:val="00AD4620"/>
    <w:rsid w:val="00AE4E00"/>
    <w:rsid w:val="00B0580F"/>
    <w:rsid w:val="00B137D2"/>
    <w:rsid w:val="00B2096E"/>
    <w:rsid w:val="00B3154D"/>
    <w:rsid w:val="00B60DF5"/>
    <w:rsid w:val="00B614F2"/>
    <w:rsid w:val="00B84F2C"/>
    <w:rsid w:val="00B86248"/>
    <w:rsid w:val="00B966F0"/>
    <w:rsid w:val="00BA7AD3"/>
    <w:rsid w:val="00BC591A"/>
    <w:rsid w:val="00BE79B1"/>
    <w:rsid w:val="00BF67F4"/>
    <w:rsid w:val="00C862FD"/>
    <w:rsid w:val="00CA371C"/>
    <w:rsid w:val="00CB06A2"/>
    <w:rsid w:val="00CB0FAD"/>
    <w:rsid w:val="00CE42B3"/>
    <w:rsid w:val="00D209DA"/>
    <w:rsid w:val="00D31FF6"/>
    <w:rsid w:val="00D77B3D"/>
    <w:rsid w:val="00D85D8F"/>
    <w:rsid w:val="00D95B25"/>
    <w:rsid w:val="00D96AF7"/>
    <w:rsid w:val="00DA1F4E"/>
    <w:rsid w:val="00DC7950"/>
    <w:rsid w:val="00DD5C76"/>
    <w:rsid w:val="00DE5B6A"/>
    <w:rsid w:val="00DF3DA0"/>
    <w:rsid w:val="00E4065E"/>
    <w:rsid w:val="00E61FF6"/>
    <w:rsid w:val="00E67DAE"/>
    <w:rsid w:val="00E85589"/>
    <w:rsid w:val="00EB461A"/>
    <w:rsid w:val="00EB6585"/>
    <w:rsid w:val="00EB7032"/>
    <w:rsid w:val="00EC788C"/>
    <w:rsid w:val="00ED6EA1"/>
    <w:rsid w:val="00EF10A4"/>
    <w:rsid w:val="00EF3F67"/>
    <w:rsid w:val="00F36B7F"/>
    <w:rsid w:val="00F41082"/>
    <w:rsid w:val="00F43D7C"/>
    <w:rsid w:val="00F548A8"/>
    <w:rsid w:val="00F566B8"/>
    <w:rsid w:val="00F7682A"/>
    <w:rsid w:val="00F84C81"/>
    <w:rsid w:val="00F92619"/>
    <w:rsid w:val="00F96C72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2300"/>
  <w15:chartTrackingRefBased/>
  <w15:docId w15:val="{F5FE9362-7E29-493C-B038-4CBF47D9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73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1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90E"/>
  </w:style>
  <w:style w:type="paragraph" w:styleId="Pidipagina">
    <w:name w:val="footer"/>
    <w:basedOn w:val="Normale"/>
    <w:link w:val="PidipaginaCarattere"/>
    <w:uiPriority w:val="99"/>
    <w:unhideWhenUsed/>
    <w:rsid w:val="00AC1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90E"/>
  </w:style>
  <w:style w:type="table" w:styleId="Grigliatabella">
    <w:name w:val="Table Grid"/>
    <w:basedOn w:val="Tabellanormale"/>
    <w:uiPriority w:val="39"/>
    <w:rsid w:val="003F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normale"/>
    <w:basedOn w:val="Normale"/>
    <w:rsid w:val="002B4D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AA43526EAD48899357683568BAFB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DF153-EECD-4E3E-83BC-F165592D96BF}"/>
      </w:docPartPr>
      <w:docPartBody>
        <w:p w:rsidR="00594DC8" w:rsidRDefault="00B705F9" w:rsidP="00B705F9">
          <w:pPr>
            <w:pStyle w:val="4EAA43526EAD48899357683568BAFB1E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F9"/>
    <w:rsid w:val="00511AED"/>
    <w:rsid w:val="00594DC8"/>
    <w:rsid w:val="007B78DA"/>
    <w:rsid w:val="00AD7EB1"/>
    <w:rsid w:val="00B705F9"/>
    <w:rsid w:val="00D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AA43526EAD48899357683568BAFB1E">
    <w:name w:val="4EAA43526EAD48899357683568BAFB1E"/>
    <w:rsid w:val="00B70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5CC82-3EC8-49CA-9CE2-49E516481F07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A1AFE5-1C25-4355-89BF-91413CA26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F43FD-6D3E-434F-B267-05AB8187A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Caldaia Sustinente</dc:creator>
  <cp:keywords/>
  <dc:description/>
  <cp:lastModifiedBy>Riccardo Delia</cp:lastModifiedBy>
  <cp:revision>2</cp:revision>
  <cp:lastPrinted>2019-02-22T08:28:00Z</cp:lastPrinted>
  <dcterms:created xsi:type="dcterms:W3CDTF">2023-11-22T09:17:00Z</dcterms:created>
  <dcterms:modified xsi:type="dcterms:W3CDTF">2023-11-22T09:17:00Z</dcterms:modified>
</cp:coreProperties>
</file>